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60554D88"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00BC3A9F">
              <w:rPr>
                <w:rFonts w:cs="Arial"/>
              </w:rPr>
              <w:t xml:space="preserve"> </w:t>
            </w:r>
            <w:r w:rsidR="002C6D11" w:rsidRPr="002C6D11">
              <w:rPr>
                <w:rFonts w:cs="Arial"/>
              </w:rPr>
              <w:t xml:space="preserve">duly registered with Tirana’s District Court on 07.07.2015 with Decision of the Sole Judge no. 5125 and fiscal registration number K41928003A, and registered office at British Council, </w:t>
            </w:r>
            <w:proofErr w:type="gramStart"/>
            <w:r w:rsidR="002C6D11" w:rsidRPr="002C6D11">
              <w:rPr>
                <w:rFonts w:cs="Arial"/>
              </w:rPr>
              <w:t>Albania</w:t>
            </w:r>
            <w:r w:rsidR="002C6D11">
              <w:rPr>
                <w:rFonts w:cs="Arial"/>
              </w:rPr>
              <w:t xml:space="preserve"> </w:t>
            </w:r>
            <w:r w:rsidRPr="00DE4EBD">
              <w:rPr>
                <w:rFonts w:cs="Arial"/>
              </w:rPr>
              <w:t xml:space="preserve"> </w:t>
            </w:r>
            <w:r w:rsidR="00C66CA1" w:rsidRPr="00C66CA1">
              <w:rPr>
                <w:rFonts w:cs="Arial"/>
              </w:rPr>
              <w:t>Sami</w:t>
            </w:r>
            <w:proofErr w:type="gramEnd"/>
            <w:r w:rsidR="00C66CA1" w:rsidRPr="00C66CA1">
              <w:rPr>
                <w:rFonts w:cs="Arial"/>
              </w:rPr>
              <w:t xml:space="preserve"> Frasheri Street, </w:t>
            </w:r>
            <w:proofErr w:type="spellStart"/>
            <w:r w:rsidR="00C66CA1" w:rsidRPr="00C66CA1">
              <w:rPr>
                <w:rFonts w:cs="Arial"/>
              </w:rPr>
              <w:t>Teknoprojekt</w:t>
            </w:r>
            <w:proofErr w:type="spellEnd"/>
            <w:r w:rsidR="00C66CA1" w:rsidRPr="00C66CA1">
              <w:rPr>
                <w:rFonts w:cs="Arial"/>
              </w:rPr>
              <w:t xml:space="preserve"> Building, Entrance 2, Apt 3, Tirana</w:t>
            </w:r>
            <w:r w:rsidR="00C66CA1">
              <w:rPr>
                <w:rFonts w:cs="Arial"/>
              </w:rPr>
              <w:t xml:space="preserve">, </w:t>
            </w:r>
            <w:r w:rsidR="00C66CA1" w:rsidRPr="00C66CA1">
              <w:rPr>
                <w:rFonts w:cs="Arial"/>
              </w:rPr>
              <w:t>Albania</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6DDF7F1A"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0C6952">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7548BF4B"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0C6952">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58B9467C"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0C6952">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4EA05BC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0C6952">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5B0CFE7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0C6952">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 xml:space="preserve">This Agreement shall only become binding on the British Council upon its signature by an authorised signatory of the British Council </w:t>
      </w:r>
      <w:proofErr w:type="gramStart"/>
      <w:r w:rsidRPr="00DE4EBD">
        <w:t>subsequent to</w:t>
      </w:r>
      <w:proofErr w:type="gramEnd"/>
      <w:r w:rsidRPr="00DE4EBD">
        <w:t xml:space="preserve">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702793A7" w:rsidR="00870C9E" w:rsidRPr="00870C9E" w:rsidRDefault="005F6D33" w:rsidP="005656CC">
            <w:pPr>
              <w:spacing w:before="60" w:after="160" w:line="240" w:lineRule="auto"/>
              <w:ind w:right="261"/>
              <w:rPr>
                <w:rFonts w:cs="Arial"/>
              </w:rPr>
            </w:pPr>
            <w:r w:rsidRPr="00DE4EBD">
              <w:rPr>
                <w:rFonts w:cs="Arial"/>
              </w:rPr>
              <w:t>Position:</w:t>
            </w:r>
          </w:p>
        </w:tc>
        <w:tc>
          <w:tcPr>
            <w:tcW w:w="1768" w:type="pct"/>
            <w:vAlign w:val="bottom"/>
          </w:tcPr>
          <w:p w14:paraId="40419381" w14:textId="77777777" w:rsidR="005F6D33" w:rsidRPr="00DE4EBD" w:rsidRDefault="005F6D33" w:rsidP="00F432E7">
            <w:pPr>
              <w:keepNext/>
              <w:tabs>
                <w:tab w:val="left" w:leader="dot" w:pos="3222"/>
              </w:tabs>
              <w:spacing w:before="60" w:after="160" w:line="240" w:lineRule="auto"/>
              <w:ind w:right="261"/>
              <w:rPr>
                <w:rFonts w:cs="Arial"/>
              </w:rPr>
            </w:pPr>
            <w:r>
              <w:rPr>
                <w:rFonts w:cs="Arial"/>
              </w:rPr>
              <w:tab/>
            </w: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lastRenderedPageBreak/>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224E7D89"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0C6952">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DBF096D"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0C6952">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77032B49" w14:textId="77777777" w:rsidR="00787047" w:rsidRPr="00DE4EBD" w:rsidRDefault="00787047" w:rsidP="00787047">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1D466A92"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r>
      <w:r w:rsidR="00787047">
        <w:rPr>
          <w:b/>
        </w:rPr>
        <w:t>as per Albanian legislation</w:t>
      </w:r>
    </w:p>
    <w:p w14:paraId="51F3B58A" w14:textId="31CEA790"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r>
      <w:proofErr w:type="gramStart"/>
      <w:r w:rsidRPr="00DE4EBD">
        <w:rPr>
          <w:b/>
        </w:rPr>
        <w:t>£[</w:t>
      </w:r>
      <w:proofErr w:type="gramEnd"/>
      <w:r w:rsidR="00787047">
        <w:rPr>
          <w:b/>
        </w:rPr>
        <w:t>1</w:t>
      </w:r>
      <w:r w:rsidRPr="00DE4EBD">
        <w:rPr>
          <w:b/>
          <w:i/>
        </w:rPr>
        <w:t>,000,000</w:t>
      </w:r>
      <w:r w:rsidRPr="00DE4EBD">
        <w:rPr>
          <w:b/>
        </w:rPr>
        <w:t>]</w:t>
      </w:r>
      <w:r w:rsidRPr="00DE4EBD">
        <w:t xml:space="preserve"> per occurrence and in the aggregate (annual total of all losses)</w:t>
      </w:r>
    </w:p>
    <w:p w14:paraId="0D885CAE" w14:textId="5AE0B0EC"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r>
      <w:proofErr w:type="gramStart"/>
      <w:r w:rsidRPr="00DE4EBD">
        <w:rPr>
          <w:b/>
        </w:rPr>
        <w:t>£[</w:t>
      </w:r>
      <w:proofErr w:type="gramEnd"/>
      <w:r w:rsidR="00787047">
        <w:rPr>
          <w:b/>
          <w:i/>
        </w:rPr>
        <w:t>5</w:t>
      </w:r>
      <w:r w:rsidRPr="00DE4EBD">
        <w:rPr>
          <w:b/>
          <w:i/>
        </w:rPr>
        <w:t>,000,000</w:t>
      </w:r>
      <w:r w:rsidRPr="00DE4EBD">
        <w:rPr>
          <w:b/>
        </w:rPr>
        <w:t>]</w:t>
      </w:r>
      <w:r w:rsidRPr="00DE4EBD">
        <w:t xml:space="preserve"> per occurrence and in the aggregate (annual total of all losses)</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7A50C323"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9 a.m. to 5 p.m. local time Monday to Friday</w:t>
      </w:r>
      <w:r w:rsidR="002C41E3">
        <w:rPr>
          <w:b/>
          <w:bCs/>
          <w:i/>
          <w:iCs/>
        </w:rPr>
        <w:t>.</w:t>
      </w:r>
      <w:r w:rsidRPr="00447A9C">
        <w:rPr>
          <w:b/>
          <w:bCs/>
          <w:i/>
          <w:iCs/>
        </w:rPr>
        <w:t xml:space="preserve"> </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0CBC2812" w14:textId="1C2553F7" w:rsidR="005F6D33" w:rsidRPr="00DE4EBD" w:rsidRDefault="005F6D33" w:rsidP="00375755">
      <w:pPr>
        <w:pStyle w:val="MRSchedPara1"/>
        <w:spacing w:before="60" w:after="160" w:line="276" w:lineRule="auto"/>
        <w:ind w:right="261"/>
      </w:pPr>
      <w:bookmarkStart w:id="8" w:name="_Ref497230934"/>
      <w:bookmarkStart w:id="9" w:name="_Ref72391382"/>
      <w:r w:rsidRPr="00DE4EBD">
        <w:t>[Safeguarding and Protecting Children and Vulnerable Adults</w:t>
      </w:r>
      <w:bookmarkEnd w:id="8"/>
      <w:bookmarkEnd w:id="9"/>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 xml:space="preserve">Where the Location(s) is/are outside of England or Wales, the Supplier warrants that, in relation to all activities in connection with the Project, it will comply with all legislation, codes </w:t>
      </w:r>
      <w:r w:rsidRPr="00DE4EBD">
        <w:lastRenderedPageBreak/>
        <w:t>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8181DA6"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6AC0CADF"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0C6952">
        <w:t>11.4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6157F698"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0C6952">
        <w:t>11.4.1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4"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 xml:space="preserve">The Supplier warrants that </w:t>
      </w:r>
      <w:proofErr w:type="gramStart"/>
      <w:r w:rsidRPr="00DE4EBD">
        <w:t>at all times</w:t>
      </w:r>
      <w:proofErr w:type="gramEnd"/>
      <w:r w:rsidRPr="00DE4EBD">
        <w:t xml:space="preserve"> during the Term, it is not, and has no reason to believe that any person who is or will be employed or engaged by the Supplier in connection with the Project is, barred from carrying out such employment or engagement.</w:t>
      </w:r>
    </w:p>
    <w:p w14:paraId="287183CD" w14:textId="2537F3A1" w:rsidR="005F6D33" w:rsidRPr="00DE4EBD" w:rsidRDefault="005F6D33" w:rsidP="00375755">
      <w:pPr>
        <w:pStyle w:val="MRSchedPara2"/>
        <w:spacing w:before="60" w:after="160" w:line="276" w:lineRule="auto"/>
        <w:ind w:right="261"/>
      </w:pPr>
      <w:r w:rsidRPr="00DE4EBD">
        <w:lastRenderedPageBreak/>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 xml:space="preserve"> have been met.</w:t>
      </w:r>
    </w:p>
    <w:p w14:paraId="25DA2125" w14:textId="44DCF485"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130B7808"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w:t>
      </w:r>
      <w:bookmarkEnd w:id="13"/>
    </w:p>
    <w:p w14:paraId="4D9385CA" w14:textId="540464FC"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0C6952">
        <w:t>11.11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3E9601BB" w14:textId="318AB665" w:rsidR="00C45A7D" w:rsidRPr="00375755" w:rsidRDefault="00C45A7D" w:rsidP="00375755">
      <w:pPr>
        <w:pStyle w:val="MRSchedPara1"/>
        <w:spacing w:before="60" w:after="160" w:line="276" w:lineRule="auto"/>
      </w:pPr>
      <w:bookmarkStart w:id="18" w:name="_Hlk122347290"/>
      <w:bookmarkStart w:id="19" w:name="_Ref121410225"/>
      <w:bookmarkStart w:id="20" w:name="_Ref116672005"/>
      <w:bookmarkStart w:id="21" w:name="_Ref111203915"/>
      <w:r w:rsidRPr="00375755">
        <w:t>Data Protectio</w:t>
      </w:r>
      <w:bookmarkEnd w:id="19"/>
      <w:r w:rsidR="0014369B">
        <w:t>n</w:t>
      </w:r>
    </w:p>
    <w:p w14:paraId="58319BF9" w14:textId="1557E7F4"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742579C4"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0C6952">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w:t>
      </w:r>
      <w:proofErr w:type="gramStart"/>
      <w:r w:rsidRPr="00B7062D">
        <w:rPr>
          <w:rFonts w:cs="Arial"/>
        </w:rPr>
        <w:t>on the basis of</w:t>
      </w:r>
      <w:proofErr w:type="gramEnd"/>
      <w:r w:rsidRPr="00B7062D">
        <w:rPr>
          <w:rFonts w:cs="Arial"/>
        </w:rPr>
        <w:t xml:space="preserve">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31841FB4"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 xml:space="preserve">[insert details] </w:t>
      </w:r>
    </w:p>
    <w:p w14:paraId="241CA709" w14:textId="07EEEC65" w:rsidR="005F6D33" w:rsidRDefault="005F6D33" w:rsidP="00375755">
      <w:pPr>
        <w:spacing w:before="60" w:after="160" w:line="276" w:lineRule="auto"/>
        <w:ind w:right="261"/>
      </w:pPr>
    </w:p>
    <w:p w14:paraId="5FE0E571" w14:textId="77777777" w:rsidR="004A41A9" w:rsidRDefault="004A41A9" w:rsidP="00375755">
      <w:pPr>
        <w:spacing w:before="60" w:after="160" w:line="276" w:lineRule="auto"/>
        <w:ind w:right="261"/>
      </w:pPr>
    </w:p>
    <w:p w14:paraId="4E5DEA2F" w14:textId="77777777" w:rsidR="004A41A9" w:rsidRDefault="004A41A9" w:rsidP="00375755">
      <w:pPr>
        <w:spacing w:before="60" w:after="160" w:line="276" w:lineRule="auto"/>
        <w:ind w:right="261"/>
      </w:pPr>
    </w:p>
    <w:p w14:paraId="141F5102" w14:textId="77777777" w:rsidR="004A41A9" w:rsidRDefault="004A41A9" w:rsidP="00375755">
      <w:pPr>
        <w:spacing w:before="60" w:after="160" w:line="276" w:lineRule="auto"/>
        <w:ind w:right="261"/>
      </w:pPr>
    </w:p>
    <w:p w14:paraId="3B41C6BF" w14:textId="77777777" w:rsidR="004A41A9" w:rsidRDefault="004A41A9" w:rsidP="00375755">
      <w:pPr>
        <w:spacing w:before="60" w:after="160" w:line="276" w:lineRule="auto"/>
        <w:ind w:right="261"/>
      </w:pPr>
    </w:p>
    <w:p w14:paraId="71846704" w14:textId="77777777" w:rsidR="004A41A9" w:rsidRDefault="004A41A9" w:rsidP="00375755">
      <w:pPr>
        <w:spacing w:before="60" w:after="160" w:line="276" w:lineRule="auto"/>
        <w:ind w:right="261"/>
      </w:pPr>
    </w:p>
    <w:p w14:paraId="2A5CDA5A" w14:textId="77777777" w:rsidR="004A41A9" w:rsidRDefault="004A41A9" w:rsidP="00375755">
      <w:pPr>
        <w:spacing w:before="60" w:after="160" w:line="276" w:lineRule="auto"/>
        <w:ind w:right="261"/>
      </w:pPr>
    </w:p>
    <w:p w14:paraId="528EFE98" w14:textId="77777777" w:rsidR="004A41A9" w:rsidRDefault="004A41A9" w:rsidP="00375755">
      <w:pPr>
        <w:spacing w:before="60" w:after="160" w:line="276" w:lineRule="auto"/>
        <w:ind w:right="261"/>
      </w:pPr>
    </w:p>
    <w:p w14:paraId="2A49D2BD" w14:textId="77777777" w:rsidR="004A41A9" w:rsidRDefault="004A41A9" w:rsidP="00375755">
      <w:pPr>
        <w:spacing w:before="60" w:after="160" w:line="276" w:lineRule="auto"/>
        <w:ind w:right="261"/>
      </w:pPr>
    </w:p>
    <w:p w14:paraId="7563B7C7" w14:textId="77777777" w:rsidR="004A41A9" w:rsidRDefault="004A41A9" w:rsidP="00375755">
      <w:pPr>
        <w:spacing w:before="60" w:after="160" w:line="276" w:lineRule="auto"/>
        <w:ind w:right="261"/>
      </w:pPr>
    </w:p>
    <w:p w14:paraId="22FB8408" w14:textId="77777777" w:rsidR="004A41A9" w:rsidRDefault="004A41A9" w:rsidP="00375755">
      <w:pPr>
        <w:spacing w:before="60" w:after="160" w:line="276" w:lineRule="auto"/>
        <w:ind w:right="261"/>
      </w:pPr>
    </w:p>
    <w:p w14:paraId="232C53EC" w14:textId="77777777" w:rsidR="004A41A9" w:rsidRDefault="004A41A9" w:rsidP="00375755">
      <w:pPr>
        <w:spacing w:before="60" w:after="160" w:line="276" w:lineRule="auto"/>
        <w:ind w:right="261"/>
      </w:pPr>
    </w:p>
    <w:p w14:paraId="652A7E80" w14:textId="77777777" w:rsidR="004A41A9" w:rsidRDefault="004A41A9" w:rsidP="00375755">
      <w:pPr>
        <w:spacing w:before="60" w:after="160" w:line="276" w:lineRule="auto"/>
        <w:ind w:right="261"/>
      </w:pPr>
    </w:p>
    <w:p w14:paraId="06D9AB13" w14:textId="77777777" w:rsidR="004A41A9" w:rsidRDefault="004A41A9" w:rsidP="00375755">
      <w:pPr>
        <w:spacing w:before="60" w:after="160" w:line="276" w:lineRule="auto"/>
        <w:ind w:right="261"/>
      </w:pPr>
    </w:p>
    <w:p w14:paraId="66B84508" w14:textId="77777777" w:rsidR="004A41A9" w:rsidRDefault="004A41A9" w:rsidP="00375755">
      <w:pPr>
        <w:spacing w:before="60" w:after="160" w:line="276" w:lineRule="auto"/>
        <w:ind w:right="261"/>
      </w:pPr>
    </w:p>
    <w:p w14:paraId="088454DB" w14:textId="77777777" w:rsidR="004A41A9" w:rsidRPr="00A921F6" w:rsidRDefault="004A41A9" w:rsidP="004A41A9">
      <w:pPr>
        <w:pStyle w:val="paragraph"/>
        <w:spacing w:before="0" w:beforeAutospacing="0" w:after="0" w:afterAutospacing="0"/>
        <w:textAlignment w:val="baseline"/>
        <w:rPr>
          <w:rFonts w:ascii="Segoe UI" w:hAnsi="Segoe UI" w:cs="Segoe UI"/>
          <w:b/>
          <w:bCs/>
          <w:sz w:val="22"/>
          <w:szCs w:val="22"/>
        </w:rPr>
      </w:pPr>
      <w:r w:rsidRPr="00A921F6">
        <w:rPr>
          <w:rStyle w:val="normaltextrun"/>
          <w:rFonts w:ascii="Arial" w:hAnsi="Arial" w:cs="Arial"/>
          <w:b/>
          <w:bCs/>
          <w:sz w:val="22"/>
          <w:szCs w:val="22"/>
          <w:lang w:val="tr-TR"/>
        </w:rPr>
        <w:t>Payment terms:  </w:t>
      </w:r>
      <w:r w:rsidRPr="00A921F6">
        <w:rPr>
          <w:rStyle w:val="eop"/>
          <w:rFonts w:ascii="Arial" w:hAnsi="Arial" w:cs="Arial"/>
          <w:b/>
          <w:bCs/>
          <w:sz w:val="22"/>
          <w:szCs w:val="22"/>
        </w:rPr>
        <w:t> </w:t>
      </w:r>
    </w:p>
    <w:p w14:paraId="57B80A28" w14:textId="77777777" w:rsidR="004A41A9" w:rsidRPr="00A921F6" w:rsidRDefault="004A41A9" w:rsidP="004A41A9">
      <w:pPr>
        <w:pStyle w:val="paragraph"/>
        <w:spacing w:before="0" w:beforeAutospacing="0" w:after="0" w:afterAutospacing="0"/>
        <w:textAlignment w:val="baseline"/>
        <w:rPr>
          <w:rFonts w:ascii="Segoe UI" w:hAnsi="Segoe UI" w:cs="Segoe UI"/>
          <w:b/>
          <w:bCs/>
          <w:sz w:val="22"/>
          <w:szCs w:val="22"/>
        </w:rPr>
      </w:pPr>
      <w:r w:rsidRPr="00A921F6">
        <w:rPr>
          <w:rStyle w:val="eop"/>
          <w:rFonts w:ascii="Arial" w:hAnsi="Arial" w:cs="Arial"/>
          <w:b/>
          <w:bCs/>
          <w:sz w:val="22"/>
          <w:szCs w:val="22"/>
        </w:rPr>
        <w:t> </w:t>
      </w:r>
    </w:p>
    <w:p w14:paraId="3742A041" w14:textId="318BCF61" w:rsidR="004A41A9" w:rsidRPr="00DE4EBD" w:rsidRDefault="004A41A9" w:rsidP="004A41A9">
      <w:pPr>
        <w:spacing w:before="60" w:after="160" w:line="276" w:lineRule="auto"/>
        <w:ind w:right="261"/>
      </w:pPr>
      <w:r w:rsidRPr="00A921F6">
        <w:rPr>
          <w:rStyle w:val="normaltextrun"/>
          <w:rFonts w:cs="Arial"/>
          <w:lang w:val="tr-TR"/>
        </w:rPr>
        <w:t xml:space="preserve">The payment will be made in </w:t>
      </w:r>
      <w:r>
        <w:rPr>
          <w:rStyle w:val="normaltextrun"/>
          <w:rFonts w:cs="Arial"/>
          <w:lang w:val="tr-TR"/>
        </w:rPr>
        <w:t xml:space="preserve">Albanian LEK </w:t>
      </w:r>
      <w:r w:rsidRPr="00A921F6">
        <w:rPr>
          <w:rStyle w:val="normaltextrun"/>
          <w:rFonts w:cs="Arial"/>
          <w:lang w:val="tr-TR"/>
        </w:rPr>
        <w:t xml:space="preserve">against invoice (with Purchase Order (PO) number noted on it) via bank transfer in </w:t>
      </w:r>
      <w:r w:rsidRPr="00A921F6">
        <w:rPr>
          <w:rStyle w:val="normaltextrun"/>
          <w:rFonts w:cs="Arial"/>
          <w:shd w:val="clear" w:color="auto" w:fill="FFFF00"/>
          <w:lang w:val="tr-TR"/>
        </w:rPr>
        <w:t>30 calendar</w:t>
      </w:r>
      <w:r w:rsidRPr="00A921F6">
        <w:rPr>
          <w:rStyle w:val="normaltextrun"/>
          <w:rFonts w:cs="Arial"/>
          <w:lang w:val="tr-TR"/>
        </w:rPr>
        <w:t xml:space="preserve"> days to the Supplier’s bank account upon completion of services and written acceptance of authorised British Council representative for the itemised goods/services used for the actual delivery. Down payment can be provided for some campaigns upon mutual agreement between the Supplier and the British Council</w:t>
      </w:r>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29" w:name="_Ref106639402"/>
      <w:bookmarkEnd w:id="29"/>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0" w:name="_Toc207776101"/>
      <w:bookmarkStart w:id="31" w:name="_Toc207776249"/>
      <w:r w:rsidRPr="00DE4EBD">
        <w:t>Interpretation</w:t>
      </w:r>
      <w:bookmarkEnd w:id="30"/>
      <w:bookmarkEnd w:id="31"/>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xml:space="preserve">” means any Intellectual Property Rights (other than Project IPR) belonging to either party before the Commencement Date or not created in the course of or in connection with the </w:t>
      </w:r>
      <w:proofErr w:type="gramStart"/>
      <w:r w:rsidRPr="00DE4EBD">
        <w:t>Project;</w:t>
      </w:r>
      <w:proofErr w:type="gramEnd"/>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xml:space="preserve">”) as well as any other organisations Controlled by the Controlling Entity from time to </w:t>
      </w:r>
      <w:proofErr w:type="gramStart"/>
      <w:r w:rsidRPr="00DE4EBD">
        <w:t>time;</w:t>
      </w:r>
      <w:proofErr w:type="gramEnd"/>
    </w:p>
    <w:p w14:paraId="7AAFE131" w14:textId="42E39880"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0C6952">
        <w:t>3.1.1</w:t>
      </w:r>
      <w:r w:rsidRPr="00DE4EBD">
        <w:fldChar w:fldCharType="end"/>
      </w:r>
      <w:r w:rsidRPr="00DE4EBD">
        <w:t xml:space="preserve"> of these Standard </w:t>
      </w:r>
      <w:proofErr w:type="gramStart"/>
      <w:r w:rsidRPr="00DE4EBD">
        <w:t>Terms;</w:t>
      </w:r>
      <w:proofErr w:type="gramEnd"/>
    </w:p>
    <w:p w14:paraId="485F038B" w14:textId="2981162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5"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65997671"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w:t>
      </w:r>
      <w:proofErr w:type="gramStart"/>
      <w:r w:rsidRPr="00DE4EBD">
        <w:t>fees</w:t>
      </w:r>
      <w:proofErr w:type="gramEnd"/>
      <w:r w:rsidRPr="00DE4EBD">
        <w:t xml:space="preserve"> and any other sums payable by the British Council to the Supplier as set out in </w:t>
      </w:r>
      <w:r w:rsidR="004665AB">
        <w:fldChar w:fldCharType="begin"/>
      </w:r>
      <w:r w:rsidR="004665AB">
        <w:instrText xml:space="preserve"> REF _Ref119932644 \r \h </w:instrText>
      </w:r>
      <w:r w:rsidR="004665AB">
        <w:fldChar w:fldCharType="separate"/>
      </w:r>
      <w:r w:rsidR="000C6952">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roofErr w:type="gramStart"/>
      <w:r w:rsidRPr="00DE4EBD">
        <w:t>);</w:t>
      </w:r>
      <w:proofErr w:type="gramEnd"/>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xml:space="preserve">” means all Documents, products and materials developed or provided by the Supplier as part of providing the </w:t>
      </w:r>
      <w:proofErr w:type="gramStart"/>
      <w:r w:rsidRPr="00DE4EBD">
        <w:t>Services;</w:t>
      </w:r>
      <w:proofErr w:type="gramEnd"/>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DE4EBD">
        <w:t>file;</w:t>
      </w:r>
      <w:proofErr w:type="gramEnd"/>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w:t>
      </w:r>
      <w:proofErr w:type="gramStart"/>
      <w:r w:rsidRPr="00DE4EBD">
        <w:t>contractor;</w:t>
      </w:r>
      <w:proofErr w:type="gramEnd"/>
    </w:p>
    <w:p w14:paraId="37D4222A" w14:textId="2D23C367"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0C6952">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xml:space="preserve">” means the Environmental Information Regulations </w:t>
      </w:r>
      <w:proofErr w:type="gramStart"/>
      <w:r w:rsidRPr="00DE4EBD">
        <w:t>2004;</w:t>
      </w:r>
      <w:proofErr w:type="gramEnd"/>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xml:space="preserve">” means any and all legislation, applicable guidance and statutory codes of practice relating to diversity, equality, </w:t>
      </w:r>
      <w:proofErr w:type="spellStart"/>
      <w:r w:rsidRPr="00DE4EBD">
        <w:t>non discrimination</w:t>
      </w:r>
      <w:proofErr w:type="spellEnd"/>
      <w:r w:rsidRPr="00DE4EBD">
        <w:t xml:space="preserve"> and human rights as may be in force from time to time in England and Wales or in any other territory in which, or in respect of which, the Supplier provides the </w:t>
      </w:r>
      <w:proofErr w:type="gramStart"/>
      <w:r w:rsidRPr="00DE4EBD">
        <w:t>Services;</w:t>
      </w:r>
      <w:proofErr w:type="gramEnd"/>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DE4EBD">
        <w:t>legislation;</w:t>
      </w:r>
      <w:proofErr w:type="gramEnd"/>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8F41B8A"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2" w:name="_Hlk130717948"/>
      <w:r w:rsidRPr="008F2575">
        <w:t>(a)</w:t>
      </w:r>
      <w:r w:rsidRPr="008F2575">
        <w:tab/>
        <w:t xml:space="preserve">the </w:t>
      </w:r>
      <w:proofErr w:type="gramStart"/>
      <w:r w:rsidRPr="008F2575">
        <w:t>FOIA;</w:t>
      </w:r>
      <w:proofErr w:type="gramEnd"/>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 xml:space="preserve">any applicable codes of practice issued under the </w:t>
      </w:r>
      <w:proofErr w:type="gramStart"/>
      <w:r>
        <w:t>FOIA</w:t>
      </w:r>
      <w:r w:rsidRPr="008F2575">
        <w:t>;</w:t>
      </w:r>
      <w:proofErr w:type="gramEnd"/>
    </w:p>
    <w:bookmarkEnd w:id="32"/>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xml:space="preserve">” means any copyright and related rights, patents, rights to inventions, registered designs, database rights, design rights, topography rights, </w:t>
      </w:r>
      <w:proofErr w:type="spellStart"/>
      <w:r w:rsidRPr="00DE4EBD">
        <w:t>trade marks</w:t>
      </w:r>
      <w:proofErr w:type="spellEnd"/>
      <w:r w:rsidRPr="00DE4EBD">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xml:space="preserve">” means, where applicable, the premises or location where the Services are to be provided, as notified by the British Council to the </w:t>
      </w:r>
      <w:proofErr w:type="gramStart"/>
      <w:r w:rsidRPr="00DE4EBD">
        <w:t>Supplier;</w:t>
      </w:r>
      <w:proofErr w:type="gramEnd"/>
    </w:p>
    <w:p w14:paraId="0A013307" w14:textId="47ABA17A"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xml:space="preserve">” means all Intellectual Property Rights that arise or are obtained or developed by either party, or by a contractor on behalf of either party, in respect of the Deliverables in the course of or in connection with the </w:t>
      </w:r>
      <w:proofErr w:type="gramStart"/>
      <w:r w:rsidRPr="00DE4EBD">
        <w:t>Project;</w:t>
      </w:r>
      <w:proofErr w:type="gramEnd"/>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means any individual employed or engaged by the Supplier and involved in the provision of the Services, or any agent or contractor or sub-contractor of the Supplier who is involved in the provision of the Services and includes the Key Personnel (if any</w:t>
      </w:r>
      <w:proofErr w:type="gramStart"/>
      <w:r w:rsidRPr="00DE4EBD">
        <w:t>);</w:t>
      </w:r>
      <w:proofErr w:type="gramEnd"/>
      <w:r w:rsidRPr="00DE4EBD">
        <w:t xml:space="preserve">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DE4EBD">
        <w:t>Requirements;</w:t>
      </w:r>
      <w:proofErr w:type="gramEnd"/>
      <w:r w:rsidRPr="00DE4EBD">
        <w:t xml:space="preserve"> </w:t>
      </w:r>
    </w:p>
    <w:p w14:paraId="447B5134" w14:textId="3217B685"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roofErr w:type="gramStart"/>
      <w:r w:rsidRPr="00DE4EBD">
        <w:t>);</w:t>
      </w:r>
      <w:proofErr w:type="gramEnd"/>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w:t>
      </w:r>
      <w:proofErr w:type="gramStart"/>
      <w:r w:rsidRPr="00DE4EBD">
        <w:t>Council;</w:t>
      </w:r>
      <w:proofErr w:type="gramEnd"/>
      <w:r w:rsidRPr="00DE4EBD">
        <w:t xml:space="preserve">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xml:space="preserve">” means any Intellectual Property Rights not belonging to either party to this Agreement but used by the Supplier in the creation of the Deliverables and/or </w:t>
      </w:r>
      <w:proofErr w:type="gramStart"/>
      <w:r w:rsidRPr="00DE4EBD">
        <w:t>in the course of</w:t>
      </w:r>
      <w:proofErr w:type="gramEnd"/>
      <w:r w:rsidRPr="00DE4EBD">
        <w:t xml:space="preserve"> or in connection with the Project.</w:t>
      </w:r>
    </w:p>
    <w:p w14:paraId="141DF1F8" w14:textId="7F1F8210" w:rsidR="005F6D33" w:rsidRPr="00DE4EBD" w:rsidRDefault="005F6D33" w:rsidP="00375755">
      <w:pPr>
        <w:pStyle w:val="MRSchedPara2"/>
        <w:spacing w:before="60" w:after="160" w:line="276" w:lineRule="auto"/>
        <w:ind w:right="261"/>
      </w:pPr>
      <w:bookmarkStart w:id="33" w:name="_Toc207776102"/>
      <w:bookmarkStart w:id="34"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 xml:space="preserve">any headings in this Agreement shall not affect the interpretation of this </w:t>
      </w:r>
      <w:proofErr w:type="gramStart"/>
      <w:r w:rsidRPr="00DE4EBD">
        <w:t>Agreement;</w:t>
      </w:r>
      <w:proofErr w:type="gramEnd"/>
    </w:p>
    <w:p w14:paraId="1BB90F78" w14:textId="2C55E5DA" w:rsidR="005F6D33" w:rsidRPr="00DE4EBD" w:rsidRDefault="005F6D33" w:rsidP="00375755">
      <w:pPr>
        <w:pStyle w:val="MRSchedPara3"/>
        <w:spacing w:before="60" w:after="160" w:line="276" w:lineRule="auto"/>
        <w:ind w:right="261"/>
      </w:pPr>
      <w:r w:rsidRPr="00DE4EBD">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DE4EBD">
        <w:t>it;</w:t>
      </w:r>
      <w:proofErr w:type="gramEnd"/>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w:t>
      </w:r>
      <w:proofErr w:type="gramStart"/>
      <w:r w:rsidRPr="00DE4EBD">
        <w:t>them;</w:t>
      </w:r>
      <w:proofErr w:type="gramEnd"/>
      <w:r w:rsidRPr="00DE4EBD">
        <w:t xml:space="preserve"> </w:t>
      </w:r>
    </w:p>
    <w:p w14:paraId="18D99ADA" w14:textId="72F24659" w:rsidR="005F6D33" w:rsidRPr="00DE4EBD" w:rsidRDefault="005F6D33" w:rsidP="00375755">
      <w:pPr>
        <w:pStyle w:val="MRSchedPara3"/>
        <w:spacing w:before="60" w:after="160" w:line="276" w:lineRule="auto"/>
        <w:ind w:right="261"/>
      </w:pPr>
      <w:bookmarkStart w:id="35"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0C6952">
        <w:t>1.2.5</w:t>
      </w:r>
      <w:r w:rsidRPr="00DE4EBD">
        <w:fldChar w:fldCharType="end"/>
      </w:r>
      <w:r w:rsidRPr="00DE4EBD">
        <w:t>, except where the context requires otherwise, references to:</w:t>
      </w:r>
      <w:bookmarkEnd w:id="35"/>
    </w:p>
    <w:p w14:paraId="6F165829" w14:textId="3EDC3BF6" w:rsidR="005F6D33" w:rsidRPr="00DE4EBD" w:rsidRDefault="005F6D33" w:rsidP="00375755">
      <w:pPr>
        <w:pStyle w:val="MRSchedPara4"/>
        <w:spacing w:before="60" w:after="160" w:line="276" w:lineRule="auto"/>
        <w:ind w:right="261"/>
      </w:pPr>
      <w:r w:rsidRPr="00DE4EBD">
        <w:t xml:space="preserve">services being provided to, or other activities being provided for, the British </w:t>
      </w:r>
      <w:proofErr w:type="gramStart"/>
      <w:r w:rsidRPr="00DE4EBD">
        <w:t>Council;</w:t>
      </w:r>
      <w:proofErr w:type="gramEnd"/>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 xml:space="preserve">the business, operations, customers, assets, Intellectual Property Rights, </w:t>
      </w:r>
      <w:proofErr w:type="gramStart"/>
      <w:r w:rsidRPr="00DE4EBD">
        <w:t>agreements</w:t>
      </w:r>
      <w:proofErr w:type="gramEnd"/>
      <w:r w:rsidRPr="00DE4EBD">
        <w:t xml:space="preserve">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w:t>
      </w:r>
      <w:proofErr w:type="gramStart"/>
      <w:r w:rsidRPr="00DE4EBD">
        <w:t>Entities;</w:t>
      </w:r>
      <w:proofErr w:type="gramEnd"/>
      <w:r w:rsidRPr="00DE4EBD">
        <w:t xml:space="preserve"> </w:t>
      </w:r>
    </w:p>
    <w:p w14:paraId="4AE253CD" w14:textId="71C31DD2" w:rsidR="005F6D33" w:rsidRPr="00DE4EBD" w:rsidRDefault="005F6D33" w:rsidP="00375755">
      <w:pPr>
        <w:pStyle w:val="MRSchedPara3"/>
        <w:spacing w:before="60" w:after="160" w:line="276" w:lineRule="auto"/>
        <w:ind w:right="261"/>
      </w:pPr>
      <w:bookmarkStart w:id="36" w:name="_Ref389378533"/>
      <w:r w:rsidRPr="00DE4EBD">
        <w:t>obligations of the British Council shall not be interpreted as obligations of any of the British Council Entities</w:t>
      </w:r>
      <w:bookmarkEnd w:id="36"/>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3"/>
      <w:bookmarkEnd w:id="34"/>
    </w:p>
    <w:p w14:paraId="1E95F1A4" w14:textId="32F63DC2"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w:t>
      </w:r>
      <w:proofErr w:type="spellStart"/>
      <w:r w:rsidRPr="00DE4EBD">
        <w:t>i</w:t>
      </w:r>
      <w:proofErr w:type="spellEnd"/>
      <w:r w:rsidRPr="00DE4EBD">
        <w:t>)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7" w:name="_Ref172434175"/>
      <w:r w:rsidRPr="00DE4EBD">
        <w:t>Where applicable, the Supplier shall</w:t>
      </w:r>
      <w:bookmarkEnd w:id="37"/>
      <w:r w:rsidRPr="00DE4EBD">
        <w:t xml:space="preserve">, </w:t>
      </w:r>
      <w:bookmarkStart w:id="38" w:name="a214330"/>
      <w:bookmarkStart w:id="39" w:name="_Ref172431786"/>
      <w:r w:rsidRPr="00DE4EBD">
        <w:t>subject to the prior written approval of the British Council, appoint or, at the written request of the British Council, replace without delay</w:t>
      </w:r>
      <w:bookmarkEnd w:id="38"/>
      <w:bookmarkEnd w:id="39"/>
      <w:r w:rsidRPr="00DE4EBD">
        <w:t xml:space="preserve"> any member of the Supplier's Team, each such member to be suitably skilled, </w:t>
      </w:r>
      <w:proofErr w:type="gramStart"/>
      <w:r w:rsidRPr="00DE4EBD">
        <w:t>experienced</w:t>
      </w:r>
      <w:proofErr w:type="gramEnd"/>
      <w:r w:rsidRPr="00DE4EBD">
        <w:t xml:space="preserve">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0" w:name="_Ref205894480"/>
      <w:bookmarkStart w:id="41"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2" w:name="_Ref172690328"/>
      <w:bookmarkEnd w:id="40"/>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2"/>
      <w:r w:rsidRPr="00DE4EBD">
        <w:t>and/</w:t>
      </w:r>
      <w:bookmarkEnd w:id="41"/>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 xml:space="preserve">before the date on which the Services are to start, obtain and </w:t>
      </w:r>
      <w:proofErr w:type="gramStart"/>
      <w:r w:rsidRPr="00DE4EBD">
        <w:t>at all times</w:t>
      </w:r>
      <w:proofErr w:type="gramEnd"/>
      <w:r w:rsidRPr="00DE4EBD">
        <w:t xml:space="preserve">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 xml:space="preserve">The Supplier shall not at any time during the Term do or say anything which damages or which could reasonably be expected to damage the interests or reputation of the British Council or the End Client (if any) or their respective officers, employees, </w:t>
      </w:r>
      <w:proofErr w:type="gramStart"/>
      <w:r w:rsidRPr="00DE4EBD">
        <w:t>agents</w:t>
      </w:r>
      <w:proofErr w:type="gramEnd"/>
      <w:r w:rsidRPr="00DE4EBD">
        <w:t xml:space="preserve">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 xml:space="preserve">The Supplier shall use all reasonable endeavours to ensure that it </w:t>
      </w:r>
      <w:proofErr w:type="gramStart"/>
      <w:r w:rsidRPr="00DE4EBD">
        <w:t>is available at all times</w:t>
      </w:r>
      <w:proofErr w:type="gramEnd"/>
      <w:r w:rsidRPr="00DE4EBD">
        <w:t xml:space="preserve">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 xml:space="preserve">The Supplier may use another person, firm, </w:t>
      </w:r>
      <w:proofErr w:type="gramStart"/>
      <w:r w:rsidRPr="00DE4EBD">
        <w:t>company</w:t>
      </w:r>
      <w:proofErr w:type="gramEnd"/>
      <w:r w:rsidRPr="00DE4EBD">
        <w:t xml:space="preserve">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 xml:space="preserve">discretion, require the Relevant Person(s) to </w:t>
      </w:r>
      <w:proofErr w:type="gramStart"/>
      <w:r w:rsidRPr="00DE4EBD">
        <w:t>enter into</w:t>
      </w:r>
      <w:proofErr w:type="gramEnd"/>
      <w:r w:rsidRPr="00DE4EBD">
        <w:t xml:space="preserve">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 xml:space="preserve">Nothing in this Agreement shall prevent the Supplier from being engaged, </w:t>
      </w:r>
      <w:proofErr w:type="gramStart"/>
      <w:r w:rsidRPr="00DE4EBD">
        <w:t>concerned</w:t>
      </w:r>
      <w:proofErr w:type="gramEnd"/>
      <w:r w:rsidRPr="00DE4EBD">
        <w:t xml:space="preserve">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DE4EBD">
        <w:t>bring to an end</w:t>
      </w:r>
      <w:proofErr w:type="gramEnd"/>
      <w:r w:rsidRPr="00DE4EBD">
        <w:t xml:space="preserve">, any conflict of interests.  </w:t>
      </w:r>
      <w:proofErr w:type="gramStart"/>
      <w:r w:rsidRPr="00DE4EBD">
        <w:t>In the event that</w:t>
      </w:r>
      <w:proofErr w:type="gramEnd"/>
      <w:r w:rsidRPr="00DE4EBD">
        <w:t xml:space="preserve">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3" w:name="_Toc207776103"/>
      <w:bookmarkStart w:id="44" w:name="_Toc207776251"/>
      <w:r w:rsidRPr="00DE4EBD">
        <w:t>The British Council’s Obligations</w:t>
      </w:r>
      <w:bookmarkEnd w:id="43"/>
      <w:bookmarkEnd w:id="44"/>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5"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5"/>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6" w:name="a555250"/>
      <w:r w:rsidRPr="00DE4EBD">
        <w:t>inform the Supplier of all health and safety rules and regulations and any other reasonable security requirements, policies and British Council instructions that apply at the Premises</w:t>
      </w:r>
      <w:bookmarkEnd w:id="46"/>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7" w:name="_Ref205894610"/>
      <w:r w:rsidRPr="00DE4EBD">
        <w:t>to the extent that it restricts or precludes performance of the Services or the provision of the Goods by the Supplier; and</w:t>
      </w:r>
      <w:bookmarkEnd w:id="47"/>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48" w:name="a267819"/>
      <w:bookmarkStart w:id="49" w:name="_Toc242083844"/>
      <w:bookmarkStart w:id="50" w:name="_Toc244068925"/>
      <w:r w:rsidRPr="00DE4EBD">
        <w:t>tatus</w:t>
      </w:r>
      <w:bookmarkEnd w:id="48"/>
      <w:bookmarkEnd w:id="49"/>
      <w:bookmarkEnd w:id="50"/>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1"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1"/>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DE4EBD">
        <w:t>as a result of</w:t>
      </w:r>
      <w:proofErr w:type="gramEnd"/>
      <w:r w:rsidRPr="00DE4EBD">
        <w:t xml:space="preserve"> any act or omission of the British Council.</w:t>
      </w:r>
    </w:p>
    <w:p w14:paraId="6458E3FC" w14:textId="0275C4B7"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0C6952">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2" w:name="_Toc207776105"/>
      <w:bookmarkStart w:id="53" w:name="_Toc207776253"/>
      <w:bookmarkStart w:id="54" w:name="_Ref262222645"/>
      <w:r w:rsidRPr="00DE4EBD">
        <w:t>Price and Payment</w:t>
      </w:r>
      <w:bookmarkEnd w:id="52"/>
      <w:bookmarkEnd w:id="53"/>
      <w:bookmarkEnd w:id="54"/>
    </w:p>
    <w:p w14:paraId="5CAE37AE" w14:textId="4B797F74" w:rsidR="005F6D33" w:rsidRPr="00DE4EBD" w:rsidRDefault="005F6D33" w:rsidP="00375755">
      <w:pPr>
        <w:pStyle w:val="MRSchedPara2"/>
        <w:spacing w:before="60" w:after="160" w:line="276" w:lineRule="auto"/>
        <w:ind w:right="261"/>
      </w:pPr>
      <w:r w:rsidRPr="00DE4EBD">
        <w:t xml:space="preserve">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w:t>
      </w:r>
      <w:proofErr w:type="gramStart"/>
      <w:r w:rsidRPr="00DE4EBD">
        <w:t>In the event that</w:t>
      </w:r>
      <w:proofErr w:type="gramEnd"/>
      <w:r w:rsidRPr="00DE4EBD">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DE4EBD">
        <w:t>in particular it</w:t>
      </w:r>
      <w:proofErr w:type="gramEnd"/>
      <w:r w:rsidRPr="00DE4EBD">
        <w:t xml:space="preserve"> must show the amount of VAT charged separately.  However, the British Council may </w:t>
      </w:r>
      <w:proofErr w:type="gramStart"/>
      <w:r w:rsidRPr="00DE4EBD">
        <w:t>be of the opinion that</w:t>
      </w:r>
      <w:proofErr w:type="gramEnd"/>
      <w:r w:rsidRPr="00DE4EBD">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 xml:space="preserve">The Supplier shall indemnify and keep indemnified the British Council from and against any liability, including any interest, penalties or costs incurred, which is levied, </w:t>
      </w:r>
      <w:proofErr w:type="gramStart"/>
      <w:r w:rsidRPr="00DE4EBD">
        <w:t>demanded</w:t>
      </w:r>
      <w:proofErr w:type="gramEnd"/>
      <w:r w:rsidRPr="00DE4EBD">
        <w:t xml:space="preserve">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47B01CDD"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0C6952">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0C6952">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5" w:name="_Ref266464540"/>
      <w:r w:rsidRPr="00DE4EBD">
        <w:t xml:space="preserve">Provided that it notifies the Supplier in writing in </w:t>
      </w:r>
      <w:proofErr w:type="gramStart"/>
      <w:r w:rsidRPr="00DE4EBD">
        <w:t>advance, and</w:t>
      </w:r>
      <w:proofErr w:type="gramEnd"/>
      <w:r w:rsidRPr="00DE4EBD">
        <w:t xml:space="preserve">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5"/>
    </w:p>
    <w:p w14:paraId="2A17EBB6" w14:textId="6DF2F6C1" w:rsidR="005F6D33" w:rsidRPr="00DE4EBD" w:rsidRDefault="005F6D33" w:rsidP="00375755">
      <w:pPr>
        <w:pStyle w:val="MRSchedPara2"/>
        <w:spacing w:before="60" w:after="160" w:line="276" w:lineRule="auto"/>
        <w:ind w:right="261"/>
      </w:pPr>
      <w:bookmarkStart w:id="56" w:name="_Ref266464543"/>
      <w:proofErr w:type="gramStart"/>
      <w:r w:rsidRPr="00DE4EBD">
        <w:t>In the event that</w:t>
      </w:r>
      <w:proofErr w:type="gramEnd"/>
      <w:r w:rsidRPr="00DE4EBD">
        <w:t xml:space="preserve">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6"/>
    </w:p>
    <w:p w14:paraId="72BA64BB" w14:textId="2EF6333E" w:rsidR="005F6D33" w:rsidRPr="00DE4EBD" w:rsidRDefault="005F6D33" w:rsidP="00375755">
      <w:pPr>
        <w:pStyle w:val="MRSchedPara2"/>
        <w:spacing w:before="60" w:after="160" w:line="276" w:lineRule="auto"/>
        <w:ind w:right="261"/>
      </w:pPr>
      <w:bookmarkStart w:id="57" w:name="_Ref394330226"/>
      <w:r w:rsidRPr="00DE4EBD">
        <w:t>Where there is an End Client, the British Council shall not be obliged to pay any invoice to the extent that it has not received payment relating to that invoice from the End Client.</w:t>
      </w:r>
      <w:bookmarkEnd w:id="57"/>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DE4EBD">
        <w:t>actually made</w:t>
      </w:r>
      <w:proofErr w:type="gramEnd"/>
      <w:r w:rsidRPr="00DE4EBD">
        <w:t xml:space="preserv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58" w:name="_Toc207776106"/>
      <w:bookmarkStart w:id="59" w:name="_Toc207776254"/>
      <w:r w:rsidRPr="00DE4EBD">
        <w:t>Quality and Performance</w:t>
      </w:r>
      <w:bookmarkEnd w:id="58"/>
      <w:bookmarkEnd w:id="59"/>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 xml:space="preserve">The British Council reserves the right to reject any Goods and/or reject or require re-performance (at no additional cost to the British Council) of any Services which are </w:t>
      </w:r>
      <w:proofErr w:type="gramStart"/>
      <w:r w:rsidRPr="00DE4EBD">
        <w:t>defective</w:t>
      </w:r>
      <w:proofErr w:type="gramEnd"/>
      <w:r w:rsidRPr="00DE4EBD">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 xml:space="preserve">Ownership of Goods shall pass to the British Council on delivery, </w:t>
      </w:r>
      <w:proofErr w:type="gramStart"/>
      <w:r w:rsidRPr="00DE4EBD">
        <w:t>payment</w:t>
      </w:r>
      <w:proofErr w:type="gramEnd"/>
      <w:r w:rsidRPr="00DE4EBD">
        <w:t xml:space="preserve">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0" w:name="_Ref172367282"/>
      <w:bookmarkStart w:id="61" w:name="_Toc207776107"/>
      <w:bookmarkStart w:id="62" w:name="_Toc207776255"/>
      <w:r w:rsidRPr="00DE4EBD">
        <w:t>Change Control</w:t>
      </w:r>
      <w:bookmarkEnd w:id="60"/>
      <w:bookmarkEnd w:id="61"/>
      <w:bookmarkEnd w:id="62"/>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3" w:name="_Ref172690486"/>
      <w:r w:rsidRPr="00DE4EBD">
        <w:t>the Supplier shall, within a reasonable time (and in any event not more than fourteen (14) calendar days after receipt of the British Council’s request), provide a written estimate to the British Council of:</w:t>
      </w:r>
      <w:bookmarkEnd w:id="63"/>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w:t>
      </w:r>
      <w:proofErr w:type="gramStart"/>
      <w:r w:rsidRPr="00DE4EBD">
        <w:t>change;</w:t>
      </w:r>
      <w:proofErr w:type="gramEnd"/>
      <w:r w:rsidRPr="00DE4EBD">
        <w:t xml:space="preserve"> </w:t>
      </w:r>
    </w:p>
    <w:p w14:paraId="062C7C4A" w14:textId="280C98A4" w:rsidR="005F6D33" w:rsidRPr="00DE4EBD" w:rsidRDefault="005F6D33" w:rsidP="00375755">
      <w:pPr>
        <w:pStyle w:val="MRSchedPara4"/>
        <w:spacing w:before="60" w:after="160" w:line="276" w:lineRule="auto"/>
        <w:ind w:right="261"/>
      </w:pPr>
      <w:r w:rsidRPr="00DE4EBD">
        <w:t xml:space="preserve">any reasonable variations to the Charges arising directly </w:t>
      </w:r>
      <w:proofErr w:type="gramStart"/>
      <w:r w:rsidRPr="00DE4EBD">
        <w:t>as a result of</w:t>
      </w:r>
      <w:proofErr w:type="gramEnd"/>
      <w:r w:rsidRPr="00DE4EBD">
        <w:t xml:space="preserve">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7DBADCFD"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the British Council does not wish to proceed, there shall be no change to this Agreement; and</w:t>
      </w:r>
    </w:p>
    <w:p w14:paraId="5A815C24" w14:textId="5B15CC37"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2FB8BD6D" w14:textId="0DC23FA0"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4" w:name="_Toc207776108"/>
      <w:bookmarkStart w:id="65" w:name="_Toc207776256"/>
      <w:bookmarkStart w:id="66" w:name="_Ref261615495"/>
      <w:r w:rsidRPr="00DE4EBD">
        <w:t>Premises</w:t>
      </w:r>
      <w:bookmarkEnd w:id="64"/>
      <w:bookmarkEnd w:id="65"/>
      <w:bookmarkEnd w:id="66"/>
    </w:p>
    <w:p w14:paraId="26476962" w14:textId="23671060" w:rsidR="005F6D33" w:rsidRPr="00DE4EBD" w:rsidRDefault="005F6D33" w:rsidP="00375755">
      <w:pPr>
        <w:pStyle w:val="MRSchedPara2"/>
        <w:spacing w:before="60" w:after="160" w:line="276" w:lineRule="auto"/>
        <w:ind w:right="261"/>
      </w:pPr>
      <w:r w:rsidRPr="00DE4EBD">
        <w:t>S</w:t>
      </w:r>
      <w:bookmarkStart w:id="67"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0C6952">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7"/>
    </w:p>
    <w:p w14:paraId="1CA28C47" w14:textId="2CD231EF" w:rsidR="005F6D33" w:rsidRPr="00DE4EBD" w:rsidRDefault="005F6D33" w:rsidP="00375755">
      <w:pPr>
        <w:pStyle w:val="MRSchedPara2"/>
        <w:spacing w:before="60" w:after="160" w:line="276" w:lineRule="auto"/>
        <w:ind w:right="261"/>
      </w:pPr>
      <w:bookmarkStart w:id="68" w:name="_Ref172433258"/>
      <w:r w:rsidRPr="00DE4EBD">
        <w:t xml:space="preserve">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w:t>
      </w:r>
      <w:proofErr w:type="gramStart"/>
      <w:r w:rsidRPr="00DE4EBD">
        <w:t>as a result of</w:t>
      </w:r>
      <w:proofErr w:type="gramEnd"/>
      <w:r w:rsidRPr="00DE4EBD">
        <w:t xml:space="preserve"> this clause.</w:t>
      </w:r>
      <w:bookmarkEnd w:id="68"/>
    </w:p>
    <w:p w14:paraId="22EC31B3" w14:textId="70F4F317" w:rsidR="005F6D33" w:rsidRPr="00DE4EBD" w:rsidRDefault="005F6D33" w:rsidP="00375755">
      <w:pPr>
        <w:pStyle w:val="MRSchedPara1"/>
        <w:spacing w:before="60" w:after="160" w:line="276" w:lineRule="auto"/>
        <w:ind w:right="261"/>
      </w:pPr>
      <w:bookmarkStart w:id="69" w:name="_Toc207776109"/>
      <w:bookmarkStart w:id="70" w:name="_Toc207776257"/>
      <w:r w:rsidRPr="00DE4EBD">
        <w:t xml:space="preserve">The </w:t>
      </w:r>
      <w:bookmarkEnd w:id="69"/>
      <w:bookmarkEnd w:id="70"/>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4C4158BF"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0C6952">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1" w:name="_Ref205894919"/>
      <w:r w:rsidRPr="00DE4EBD">
        <w:t xml:space="preserve">The Supplier shall maintain </w:t>
      </w:r>
      <w:proofErr w:type="gramStart"/>
      <w:r w:rsidRPr="00DE4EBD">
        <w:t>all of</w:t>
      </w:r>
      <w:proofErr w:type="gramEnd"/>
      <w:r w:rsidRPr="00DE4EBD">
        <w:t xml:space="preserve"> the British Council Equipment in good and serviceable condition (fair wear and tear excepted) and shall only use the British Council Equipment in accordance with the British Council Equipment manufacturers’ recommendations.</w:t>
      </w:r>
      <w:bookmarkEnd w:id="71"/>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2" w:name="_Toc207776110"/>
      <w:bookmarkStart w:id="73" w:name="_Toc207776258"/>
      <w:bookmarkStart w:id="74" w:name="_Ref261618226"/>
      <w:bookmarkStart w:id="75" w:name="_Ref387838130"/>
      <w:bookmarkStart w:id="76" w:name="_Ref387838142"/>
      <w:bookmarkStart w:id="77" w:name="_Ref394389238"/>
      <w:bookmarkStart w:id="78" w:name="_Ref394389249"/>
      <w:r w:rsidRPr="00DE4EBD">
        <w:t>Intellectual Property Rights</w:t>
      </w:r>
      <w:bookmarkEnd w:id="72"/>
      <w:bookmarkEnd w:id="73"/>
      <w:bookmarkEnd w:id="74"/>
      <w:bookmarkEnd w:id="75"/>
      <w:bookmarkEnd w:id="76"/>
      <w:bookmarkEnd w:id="77"/>
      <w:bookmarkEnd w:id="78"/>
      <w:r w:rsidRPr="00DE4EBD">
        <w:tab/>
      </w:r>
    </w:p>
    <w:p w14:paraId="22597DAF" w14:textId="6645D109"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DE4EBD">
        <w:t>opposition</w:t>
      </w:r>
      <w:proofErr w:type="gramEnd"/>
      <w:r w:rsidRPr="00DE4EBD">
        <w:t xml:space="preserve"> or revocation proceedings.</w:t>
      </w:r>
    </w:p>
    <w:p w14:paraId="70F08401" w14:textId="3AF1E304" w:rsidR="005F6D33" w:rsidRPr="00DE4EBD" w:rsidRDefault="005F6D33" w:rsidP="00375755">
      <w:pPr>
        <w:pStyle w:val="MRSchedPara2"/>
        <w:spacing w:before="60" w:after="160" w:line="276" w:lineRule="auto"/>
        <w:ind w:right="261"/>
      </w:pPr>
      <w:bookmarkStart w:id="79" w:name="_Ref394418871"/>
      <w:r w:rsidRPr="00DE4EBD">
        <w:t xml:space="preserve">The Supplier hereby assigns to the British Council with full title guarantee by way of present and future assignment all its right, </w:t>
      </w:r>
      <w:proofErr w:type="gramStart"/>
      <w:r w:rsidRPr="00DE4EBD">
        <w:t>title</w:t>
      </w:r>
      <w:proofErr w:type="gramEnd"/>
      <w:r w:rsidRPr="00DE4EBD">
        <w:t xml:space="preserve"> and interest in and to the Project IPR.</w:t>
      </w:r>
      <w:bookmarkEnd w:id="79"/>
    </w:p>
    <w:p w14:paraId="56051FA9" w14:textId="241C989F" w:rsidR="005F6D33" w:rsidRPr="00DE4EBD" w:rsidRDefault="005F6D33" w:rsidP="00375755">
      <w:pPr>
        <w:pStyle w:val="MRSchedPara2"/>
        <w:spacing w:before="60" w:after="160" w:line="276" w:lineRule="auto"/>
        <w:ind w:right="261"/>
      </w:pPr>
      <w:r w:rsidRPr="00DE4EBD">
        <w:t xml:space="preserve">The Supplier shall procure the waiver in favour of the British Council of all moral rights arising under the Copyright, Designs and Patents Act 1988, as </w:t>
      </w:r>
      <w:proofErr w:type="gramStart"/>
      <w:r w:rsidRPr="00DE4EBD">
        <w:t>amended</w:t>
      </w:r>
      <w:proofErr w:type="gramEnd"/>
      <w:r w:rsidRPr="00DE4EBD">
        <w:t xml:space="preserve">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 xml:space="preserve">The Supplier is responsible for obtaining any licences, </w:t>
      </w:r>
      <w:proofErr w:type="gramStart"/>
      <w:r w:rsidRPr="00DE4EBD">
        <w:t>permissions</w:t>
      </w:r>
      <w:proofErr w:type="gramEnd"/>
      <w:r w:rsidRPr="00DE4EBD">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5245B6B5"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0C6952">
        <w:t>10</w:t>
      </w:r>
      <w:r w:rsidRPr="00DE4EBD">
        <w:fldChar w:fldCharType="end"/>
      </w:r>
      <w:r w:rsidRPr="00DE4EBD">
        <w:t>.</w:t>
      </w:r>
    </w:p>
    <w:p w14:paraId="60F0A640" w14:textId="4387BF12"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0C6952">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w:t>
      </w:r>
      <w:proofErr w:type="gramStart"/>
      <w:r w:rsidRPr="00DE4EBD">
        <w:t>in the course of</w:t>
      </w:r>
      <w:proofErr w:type="gramEnd"/>
      <w:r w:rsidRPr="00DE4EBD">
        <w:t xml:space="preserve">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 xml:space="preserve">Each party shall promptly give written notice to the other party of any actual, </w:t>
      </w:r>
      <w:proofErr w:type="gramStart"/>
      <w:r w:rsidRPr="00DE4EBD">
        <w:t>threatened</w:t>
      </w:r>
      <w:proofErr w:type="gramEnd"/>
      <w:r w:rsidRPr="00DE4EBD">
        <w:t xml:space="preserve">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0" w:name="_Ref172690718"/>
      <w:bookmarkStart w:id="81" w:name="_Toc207776112"/>
      <w:bookmarkStart w:id="82" w:name="_Toc207776260"/>
      <w:r w:rsidRPr="00DE4EBD">
        <w:t>Limitation of Liability</w:t>
      </w:r>
      <w:bookmarkEnd w:id="80"/>
      <w:bookmarkEnd w:id="81"/>
      <w:bookmarkEnd w:id="82"/>
    </w:p>
    <w:p w14:paraId="27B88AA1" w14:textId="7BB1EA5E" w:rsidR="005F6D33" w:rsidRPr="00DE4EBD" w:rsidRDefault="005F6D33" w:rsidP="00375755">
      <w:pPr>
        <w:pStyle w:val="MRSchedPara2"/>
        <w:spacing w:before="60" w:after="160" w:line="276" w:lineRule="auto"/>
        <w:ind w:right="261"/>
      </w:pPr>
      <w:bookmarkStart w:id="83" w:name="_Ref205952944"/>
      <w:bookmarkStart w:id="84" w:name="_Ref211221467"/>
      <w:bookmarkStart w:id="85"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3"/>
      <w:bookmarkEnd w:id="84"/>
    </w:p>
    <w:p w14:paraId="6DAAFBA8" w14:textId="5CF880A9" w:rsidR="005F6D33" w:rsidRPr="00DE4EBD" w:rsidRDefault="005F6D33" w:rsidP="00375755">
      <w:pPr>
        <w:pStyle w:val="MRSchedPara2"/>
        <w:spacing w:before="60" w:after="160" w:line="276" w:lineRule="auto"/>
        <w:ind w:right="261"/>
      </w:pPr>
      <w:r w:rsidRPr="00DE4EBD">
        <w:t>S</w:t>
      </w:r>
      <w:bookmarkStart w:id="86"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0C6952">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5"/>
      <w:bookmarkEnd w:id="86"/>
    </w:p>
    <w:p w14:paraId="53854C93" w14:textId="77F2B26F" w:rsidR="005F6D33" w:rsidRPr="00DE4EBD" w:rsidRDefault="005F6D33" w:rsidP="00375755">
      <w:pPr>
        <w:pStyle w:val="MRSchedPara2"/>
        <w:spacing w:before="60" w:after="160" w:line="276" w:lineRule="auto"/>
        <w:ind w:right="261"/>
      </w:pPr>
      <w:bookmarkStart w:id="87" w:name="_Ref172690804"/>
      <w:r w:rsidRPr="00DE4EBD">
        <w:t>Nothing in this Agreement shall exclude or restrict the liability of the Supplier to the British Council</w:t>
      </w:r>
      <w:bookmarkEnd w:id="87"/>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0C6952">
        <w:t>16</w:t>
      </w:r>
      <w:r w:rsidR="00250D10">
        <w:fldChar w:fldCharType="end"/>
      </w:r>
      <w:r w:rsidR="00250D10">
        <w:t xml:space="preserve"> </w:t>
      </w:r>
      <w:r w:rsidRPr="00DE4EBD">
        <w:t>(Data Processing).</w:t>
      </w:r>
    </w:p>
    <w:p w14:paraId="3BD776A6" w14:textId="55454457" w:rsidR="005F6D33" w:rsidRPr="00DE4EBD" w:rsidRDefault="005F6D33" w:rsidP="00375755">
      <w:pPr>
        <w:pStyle w:val="MRSchedPara2"/>
        <w:spacing w:before="60" w:after="160" w:line="276" w:lineRule="auto"/>
        <w:ind w:right="261"/>
      </w:pPr>
      <w:bookmarkStart w:id="88"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0C6952">
        <w:t>11.4</w:t>
      </w:r>
      <w:r w:rsidRPr="00DE4EBD">
        <w:fldChar w:fldCharType="end"/>
      </w:r>
      <w:r w:rsidRPr="00DE4EBD">
        <w:t>.</w:t>
      </w:r>
      <w:bookmarkEnd w:id="88"/>
    </w:p>
    <w:p w14:paraId="53EF9093" w14:textId="478472D5"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0C6952">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1BE0F2FA"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0C6952">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89" w:name="_Ref172367191"/>
      <w:bookmarkStart w:id="90" w:name="_Toc207776113"/>
      <w:bookmarkStart w:id="91" w:name="_Toc207776261"/>
      <w:r w:rsidRPr="00DE4EBD">
        <w:t>Confidentiality</w:t>
      </w:r>
      <w:bookmarkEnd w:id="89"/>
      <w:bookmarkEnd w:id="90"/>
      <w:bookmarkEnd w:id="91"/>
    </w:p>
    <w:p w14:paraId="7ED16FA2" w14:textId="7453C814" w:rsidR="005F6D33" w:rsidRPr="00DE4EBD" w:rsidRDefault="005F6D33" w:rsidP="00375755">
      <w:pPr>
        <w:pStyle w:val="MRSchedPara2"/>
        <w:keepNext/>
        <w:spacing w:before="60" w:after="160" w:line="276" w:lineRule="auto"/>
        <w:ind w:right="261"/>
      </w:pPr>
      <w:bookmarkStart w:id="92"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xml:space="preserve">” is the party which discloses Confidential Information to, or in respect of which Confidential Information comes to the knowledge of, the other </w:t>
      </w:r>
      <w:proofErr w:type="gramStart"/>
      <w:r w:rsidRPr="00DE4EBD">
        <w:t>party;  and</w:t>
      </w:r>
      <w:proofErr w:type="gramEnd"/>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3" w:name="_Ref208381333"/>
      <w:r w:rsidRPr="00DE4EBD">
        <w:t>The Receiving Party shall take all necessary precautions to ensure that all Confidential Information it receives under or in connection with this Agreement:</w:t>
      </w:r>
      <w:bookmarkEnd w:id="92"/>
      <w:bookmarkEnd w:id="93"/>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4" w:name="_Ref208381470"/>
      <w:r w:rsidRPr="00DE4EBD">
        <w:t>The Supplier shall ensure that all members of the Supplier’s Team or professional advisors or consultants are aware of the Supplier’s confidentiality obligations under this Agreement.</w:t>
      </w:r>
      <w:bookmarkEnd w:id="94"/>
    </w:p>
    <w:p w14:paraId="5134AA4D" w14:textId="1ECA25B4"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0C6952">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0C6952">
        <w:t>12.3</w:t>
      </w:r>
      <w:r w:rsidRPr="00DE4EBD">
        <w:fldChar w:fldCharType="end"/>
      </w:r>
      <w:r w:rsidRPr="00DE4EBD">
        <w:t xml:space="preserve"> shall not apply to any Confidential Information which:</w:t>
      </w:r>
    </w:p>
    <w:p w14:paraId="6C763D43" w14:textId="6529DCA7"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proofErr w:type="gramStart"/>
      <w:r w:rsidRPr="00DE4EBD">
        <w:t>);</w:t>
      </w:r>
      <w:proofErr w:type="gramEnd"/>
    </w:p>
    <w:p w14:paraId="0F1925C2" w14:textId="0421BF4D" w:rsidR="005F6D33" w:rsidRPr="00DE4EBD" w:rsidRDefault="005F6D33" w:rsidP="00375755">
      <w:pPr>
        <w:pStyle w:val="MRSchedPara3"/>
        <w:spacing w:before="60" w:after="160" w:line="276" w:lineRule="auto"/>
        <w:ind w:right="261"/>
      </w:pPr>
      <w:r w:rsidRPr="00DE4EBD">
        <w:t xml:space="preserve">was in the possession of the Receiving Party, without restriction as to its disclosure, before receiving it from the Disclosing </w:t>
      </w:r>
      <w:proofErr w:type="gramStart"/>
      <w:r w:rsidRPr="00DE4EBD">
        <w:t>Party;</w:t>
      </w:r>
      <w:proofErr w:type="gramEnd"/>
    </w:p>
    <w:p w14:paraId="52CA450A" w14:textId="34C71599" w:rsidR="005F6D33" w:rsidRPr="00DE4EBD" w:rsidRDefault="005F6D33" w:rsidP="00375755">
      <w:pPr>
        <w:pStyle w:val="MRSchedPara3"/>
        <w:spacing w:before="60" w:after="160" w:line="276" w:lineRule="auto"/>
        <w:ind w:right="261"/>
      </w:pPr>
      <w:r w:rsidRPr="00DE4EBD">
        <w:t xml:space="preserve">is received from a third party who lawfully acquired it and who is under no obligation restricting its </w:t>
      </w:r>
      <w:proofErr w:type="gramStart"/>
      <w:r w:rsidRPr="00DE4EBD">
        <w:t>disclosure;</w:t>
      </w:r>
      <w:proofErr w:type="gramEnd"/>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 xml:space="preserve">must be disclosed pursuant to a statutory, </w:t>
      </w:r>
      <w:proofErr w:type="gramStart"/>
      <w:r w:rsidRPr="00DE4EBD">
        <w:t>legal</w:t>
      </w:r>
      <w:proofErr w:type="gramEnd"/>
      <w:r w:rsidRPr="00DE4EBD">
        <w:t xml:space="preserve"> or parliamentary obligation placed upon the Receiving Party.</w:t>
      </w:r>
    </w:p>
    <w:p w14:paraId="1635D47D" w14:textId="108C077B" w:rsidR="005F6D33" w:rsidRPr="00DE4EBD" w:rsidRDefault="005F6D33" w:rsidP="00375755">
      <w:pPr>
        <w:pStyle w:val="MRSchedPara2"/>
        <w:spacing w:before="60" w:after="160" w:line="276" w:lineRule="auto"/>
        <w:ind w:right="261"/>
      </w:pPr>
      <w:proofErr w:type="gramStart"/>
      <w:r w:rsidRPr="00DE4EBD">
        <w:t>In the event that</w:t>
      </w:r>
      <w:proofErr w:type="gramEnd"/>
      <w:r w:rsidRPr="00DE4EBD">
        <w:t xml:space="preserve"> the Supplier fails to comply with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the British Council reserves the right to terminate this Agreement by notice in writing with immediate effect.</w:t>
      </w:r>
    </w:p>
    <w:p w14:paraId="2A258146" w14:textId="2B6E3C5F" w:rsidR="005F6D33" w:rsidRPr="00DE4EBD" w:rsidRDefault="005F6D33" w:rsidP="00375755">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t xml:space="preserve">provide the British Council with a copy of all such information in the form that the British Council requires as soon as practicable and in any event within 10 </w:t>
      </w:r>
      <w:r w:rsidRPr="00DE4EBD">
        <w:lastRenderedPageBreak/>
        <w:t>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5" w:name="_Ref381198723"/>
      <w:r w:rsidRPr="00DE4EBD">
        <w:t>in certain circumstances without consulting the Supplier; or</w:t>
      </w:r>
      <w:bookmarkEnd w:id="95"/>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36E3A154"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0C6952">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7DF38038"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6" w:name="_Ref172691842"/>
      <w:bookmarkStart w:id="97" w:name="_Toc207776115"/>
      <w:bookmarkStart w:id="98" w:name="_Toc207776263"/>
      <w:r w:rsidRPr="00DE4EBD">
        <w:t>Termination</w:t>
      </w:r>
      <w:bookmarkEnd w:id="96"/>
      <w:bookmarkEnd w:id="97"/>
      <w:bookmarkEnd w:id="98"/>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 xml:space="preserve">the performance of the Services is delayed, hindered or prevented by a Force Majeure Event for a period in excess of 28 </w:t>
      </w:r>
      <w:proofErr w:type="gramStart"/>
      <w:r w:rsidRPr="00DE4EBD">
        <w:t>days;</w:t>
      </w:r>
      <w:proofErr w:type="gramEnd"/>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 xml:space="preserve">is incapacitated (including by reason of illness or accident) from providing the Services for an aggregate period of five (5) Working Days in any two (2) </w:t>
      </w:r>
      <w:proofErr w:type="gramStart"/>
      <w:r w:rsidRPr="00DE4EBD">
        <w:t>week</w:t>
      </w:r>
      <w:proofErr w:type="gramEnd"/>
      <w:r w:rsidRPr="00DE4EBD">
        <w:t xml:space="preserve">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99" w:name="_Ref266713809"/>
      <w:bookmarkStart w:id="100" w:name="a660795"/>
      <w:r w:rsidRPr="00DE4EBD">
        <w:t>Either party may give notice in writing to the other terminating this Agreement with immediate effect if:</w:t>
      </w:r>
      <w:bookmarkEnd w:id="99"/>
    </w:p>
    <w:p w14:paraId="3DF871E2" w14:textId="72F61907" w:rsidR="005F6D33" w:rsidRPr="00DE4EBD" w:rsidRDefault="005F6D33" w:rsidP="00375755">
      <w:pPr>
        <w:pStyle w:val="MRSchedPara3"/>
        <w:spacing w:before="60" w:after="160" w:line="276" w:lineRule="auto"/>
        <w:ind w:right="261"/>
      </w:pPr>
      <w:r w:rsidRPr="00DE4EBD">
        <w:t xml:space="preserve">the other party commits any material breach of any of the terms of this Agreement and that breach (if capable of remedy) is not remedied within 30 days of notice being given requiring it to be remedied (and where such breach </w:t>
      </w:r>
      <w:r w:rsidRPr="00DE4EBD">
        <w:lastRenderedPageBreak/>
        <w:t>is not capable of remedy, the terminating party shall be entitled to terminate the Agreement with immediate effect</w:t>
      </w:r>
      <w:proofErr w:type="gramStart"/>
      <w:r w:rsidRPr="00DE4EBD">
        <w:t>);</w:t>
      </w:r>
      <w:proofErr w:type="gramEnd"/>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 xml:space="preserve">the End Client Agreement </w:t>
      </w:r>
      <w:proofErr w:type="gramStart"/>
      <w:r w:rsidRPr="00DE4EBD">
        <w:t>terminates;</w:t>
      </w:r>
      <w:proofErr w:type="gramEnd"/>
    </w:p>
    <w:p w14:paraId="5A2F4AFB" w14:textId="3FEBBF8E" w:rsidR="005F6D33" w:rsidRPr="00DE4EBD" w:rsidRDefault="005F6D33" w:rsidP="00375755">
      <w:pPr>
        <w:pStyle w:val="MRSchedPara3"/>
        <w:spacing w:before="60" w:after="160" w:line="276" w:lineRule="auto"/>
        <w:ind w:right="261"/>
      </w:pPr>
      <w:r w:rsidRPr="00DE4EBD">
        <w:t xml:space="preserve">the End Client instructs the British Council in writing to terminate this </w:t>
      </w:r>
      <w:proofErr w:type="gramStart"/>
      <w:r w:rsidRPr="00DE4EBD">
        <w:t>Agreement;</w:t>
      </w:r>
      <w:proofErr w:type="gramEnd"/>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4A712988" w:rsidR="005F6D33" w:rsidRPr="00DE4EBD" w:rsidRDefault="005F6D33" w:rsidP="00375755">
      <w:pPr>
        <w:pStyle w:val="MRSchedPara2"/>
        <w:spacing w:before="60" w:after="160" w:line="276" w:lineRule="auto"/>
        <w:ind w:right="261"/>
      </w:pPr>
      <w:bookmarkStart w:id="101" w:name="_Ref205893735"/>
      <w:bookmarkStart w:id="102" w:name="_Ref172691806"/>
      <w:r w:rsidRPr="00DE4EBD">
        <w:t xml:space="preserve">The British Council may at any time by notice in writing terminate this Agreement with immediate effect if the Supplier is in persistent breach of any of its obligations under this Agreement, </w:t>
      </w:r>
      <w:proofErr w:type="gramStart"/>
      <w:r w:rsidRPr="00DE4EBD">
        <w:t>whether or not</w:t>
      </w:r>
      <w:proofErr w:type="gramEnd"/>
      <w:r w:rsidRPr="00DE4EBD">
        <w:t xml:space="preserve">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0C6952">
        <w:t>13.4</w:t>
      </w:r>
      <w:r w:rsidRPr="00DE4EBD">
        <w:fldChar w:fldCharType="end"/>
      </w:r>
      <w:bookmarkEnd w:id="101"/>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3" w:name="BookmarkToReturnToPrintingOutTheDoc"/>
      <w:r w:rsidRPr="00DE4EBD">
        <w:t>suspension</w:t>
      </w:r>
      <w:bookmarkEnd w:id="103"/>
      <w:r w:rsidRPr="00DE4EBD">
        <w:t>.</w:t>
      </w:r>
    </w:p>
    <w:p w14:paraId="2B5F46EF" w14:textId="0C46F55E" w:rsidR="005F6D33" w:rsidRPr="00DE4EBD" w:rsidRDefault="005F6D33" w:rsidP="00375755">
      <w:pPr>
        <w:pStyle w:val="MRSchedPara2"/>
        <w:spacing w:before="60" w:after="160" w:line="276" w:lineRule="auto"/>
        <w:ind w:right="261"/>
      </w:pPr>
      <w:bookmarkStart w:id="104" w:name="_Ref205953834"/>
      <w:r w:rsidRPr="00DE4EBD">
        <w:t>On termination of this Agreement for any reason the Supplier shall immediately deliver to the British Council:</w:t>
      </w:r>
      <w:bookmarkEnd w:id="102"/>
      <w:bookmarkEnd w:id="104"/>
      <w:r w:rsidRPr="00DE4EBD">
        <w:t xml:space="preserve"> </w:t>
      </w:r>
      <w:bookmarkEnd w:id="100"/>
    </w:p>
    <w:p w14:paraId="0130F873" w14:textId="7ABE05D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and</w:t>
      </w:r>
    </w:p>
    <w:p w14:paraId="4EB7FB0A" w14:textId="42CDDAB1"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0C6952">
        <w:t>10.4</w:t>
      </w:r>
      <w:r w:rsidRPr="00DE4EBD">
        <w:fldChar w:fldCharType="end"/>
      </w:r>
      <w:r w:rsidRPr="00DE4EBD">
        <w:t>).</w:t>
      </w:r>
    </w:p>
    <w:p w14:paraId="03268F5F" w14:textId="65FB4C2F" w:rsidR="005F6D33" w:rsidRPr="00DE4EBD" w:rsidRDefault="005F6D33" w:rsidP="00375755">
      <w:pPr>
        <w:pStyle w:val="MRSchedPara2"/>
        <w:spacing w:before="60" w:after="160" w:line="276" w:lineRule="auto"/>
        <w:ind w:right="261"/>
      </w:pPr>
      <w:r w:rsidRPr="00DE4EBD">
        <w:lastRenderedPageBreak/>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0C6952">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 xml:space="preserve">Termination of this Agreement, however it arises, shall not </w:t>
      </w:r>
      <w:proofErr w:type="gramStart"/>
      <w:r w:rsidRPr="00DE4EBD">
        <w:t>affect</w:t>
      </w:r>
      <w:proofErr w:type="gramEnd"/>
      <w:r w:rsidRPr="00DE4EBD">
        <w:t xml:space="preserve"> or prejudice the accrued rights of the parties as at termination or the continuation of any provision expressly stated to survive, or implicitly surviving, termination.</w:t>
      </w:r>
    </w:p>
    <w:p w14:paraId="3FC9A0F8" w14:textId="755EF01C"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0C6952">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0C6952">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5" w:name="_Ref205953879"/>
      <w:r w:rsidRPr="00DE4EBD">
        <w:t>The Supplier may not sub-contract the provision of any material part of the Services without the prior written consent of the British Council, such consent not to be unreasonably withheld or delayed.</w:t>
      </w:r>
      <w:bookmarkEnd w:id="105"/>
      <w:r w:rsidRPr="00DE4EBD">
        <w:t xml:space="preserve">  </w:t>
      </w:r>
    </w:p>
    <w:p w14:paraId="14B9356A" w14:textId="4D33069A"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0C6952">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6" w:name="_Ref452554148"/>
      <w:r w:rsidRPr="00DE4EBD">
        <w:t xml:space="preserve">Where the Supplier </w:t>
      </w:r>
      <w:proofErr w:type="gramStart"/>
      <w:r w:rsidRPr="00DE4EBD">
        <w:t>enters into</w:t>
      </w:r>
      <w:proofErr w:type="gramEnd"/>
      <w:r w:rsidRPr="00DE4EBD">
        <w:t xml:space="preserve"> a Sub-Contract, the Supplier shall:</w:t>
      </w:r>
      <w:bookmarkEnd w:id="106"/>
    </w:p>
    <w:p w14:paraId="3E471E57" w14:textId="500EBBEF" w:rsidR="005F6D33" w:rsidRPr="00DE4EBD" w:rsidRDefault="005F6D33" w:rsidP="00375755">
      <w:pPr>
        <w:pStyle w:val="MRSchedPara3"/>
        <w:spacing w:before="60" w:after="160" w:line="276" w:lineRule="auto"/>
        <w:ind w:right="261"/>
      </w:pPr>
      <w:bookmarkStart w:id="107" w:name="_Ref452554106"/>
      <w:r w:rsidRPr="00DE4EBD">
        <w:t>pay any valid invoice received from its subcontractor within 30 days following receipt of the relevant invoice payable under the Sub-Contract; and</w:t>
      </w:r>
      <w:bookmarkEnd w:id="107"/>
    </w:p>
    <w:p w14:paraId="4963D223" w14:textId="11D1FDF1"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0C6952">
        <w:t>14.3.1</w:t>
      </w:r>
      <w:r w:rsidRPr="00DE4EBD">
        <w:fldChar w:fldCharType="end"/>
      </w:r>
      <w:r w:rsidRPr="00DE4EBD">
        <w:t xml:space="preserve"> of this Agreement.</w:t>
      </w:r>
    </w:p>
    <w:p w14:paraId="15815D16" w14:textId="03309374"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0C6952">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08" w:name="_Ref511302717"/>
      <w:bookmarkStart w:id="109" w:name="_Ref172432194"/>
      <w:bookmarkStart w:id="110" w:name="_Toc207776120"/>
      <w:bookmarkStart w:id="111" w:name="_Toc207776268"/>
      <w:r w:rsidRPr="00DE4EBD">
        <w:lastRenderedPageBreak/>
        <w:t>Anti-Corruption, Anti-Collusion and Tax Evasion</w:t>
      </w:r>
      <w:bookmarkEnd w:id="108"/>
    </w:p>
    <w:p w14:paraId="48FA3992" w14:textId="236561F3" w:rsidR="005F6D33" w:rsidRPr="00DE4EBD" w:rsidRDefault="005F6D33" w:rsidP="00375755">
      <w:pPr>
        <w:pStyle w:val="MRSchedPara2"/>
        <w:spacing w:before="60" w:after="160" w:line="276" w:lineRule="auto"/>
        <w:ind w:right="261"/>
      </w:pPr>
      <w:bookmarkStart w:id="112" w:name="_Ref511302563"/>
      <w:r w:rsidRPr="00DE4EBD">
        <w:t xml:space="preserve">The Supplier undertakes and warrants that it has not offered, </w:t>
      </w:r>
      <w:proofErr w:type="gramStart"/>
      <w:r w:rsidRPr="00DE4EBD">
        <w:t>given</w:t>
      </w:r>
      <w:proofErr w:type="gramEnd"/>
      <w:r w:rsidRPr="00DE4EBD">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2"/>
    </w:p>
    <w:p w14:paraId="427F7CB1" w14:textId="4B244B4D" w:rsidR="005F6D33" w:rsidRPr="00DE4EBD" w:rsidRDefault="005F6D33" w:rsidP="00375755">
      <w:pPr>
        <w:pStyle w:val="MRSchedPara2"/>
        <w:spacing w:before="60" w:after="160" w:line="276" w:lineRule="auto"/>
        <w:ind w:right="261"/>
      </w:pPr>
      <w:bookmarkStart w:id="113"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3"/>
    </w:p>
    <w:p w14:paraId="2FDF664C" w14:textId="518F379F" w:rsidR="005F6D33" w:rsidRPr="00DE4EBD" w:rsidRDefault="005F6D33" w:rsidP="00375755">
      <w:pPr>
        <w:pStyle w:val="MRSchedPara2"/>
        <w:spacing w:before="60" w:after="160" w:line="276" w:lineRule="auto"/>
        <w:ind w:right="261"/>
      </w:pPr>
      <w:bookmarkStart w:id="114" w:name="_Ref511302532"/>
      <w:r w:rsidRPr="00DE4EBD">
        <w:t>The Supplier warrants that:</w:t>
      </w:r>
      <w:bookmarkEnd w:id="114"/>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74FA80AB"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5" w:name="_Ref511302550"/>
      <w:r w:rsidRPr="00DE4EBD">
        <w:t xml:space="preserve">The Supplier acknowledges and agrees that British Council may, at any point during the Term and on any number of occasions, carry out searches of relevant </w:t>
      </w:r>
      <w:proofErr w:type="gramStart"/>
      <w:r w:rsidRPr="00DE4EBD">
        <w:t>third party</w:t>
      </w:r>
      <w:proofErr w:type="gramEnd"/>
      <w:r w:rsidRPr="00DE4EBD">
        <w:t xml:space="preserve"> screening databases (each a “Screening Database”) to ensure that neither the Supplier, the Supplier’s Team nor any of the Supplier’s Team’s directors or shareholders (where applicable), is or have been listed:</w:t>
      </w:r>
      <w:bookmarkEnd w:id="115"/>
    </w:p>
    <w:p w14:paraId="30DC785C" w14:textId="6C1AA1DE" w:rsidR="005F6D33" w:rsidRPr="00DE4EBD" w:rsidRDefault="005F6D33" w:rsidP="00375755">
      <w:pPr>
        <w:pStyle w:val="MRSchedPara3"/>
        <w:spacing w:before="60" w:after="160" w:line="276" w:lineRule="auto"/>
        <w:ind w:right="261"/>
      </w:pPr>
      <w:r w:rsidRPr="00DE4EBD">
        <w:t xml:space="preserve">as an individual or entity with whom national or supranational bodies have decreed organisations should not have financial </w:t>
      </w:r>
      <w:proofErr w:type="gramStart"/>
      <w:r w:rsidRPr="00DE4EBD">
        <w:t>dealings;</w:t>
      </w:r>
      <w:proofErr w:type="gramEnd"/>
    </w:p>
    <w:p w14:paraId="150222D6" w14:textId="7D8F8B57" w:rsidR="005F6D33" w:rsidRPr="00DE4EBD" w:rsidRDefault="005F6D33" w:rsidP="00375755">
      <w:pPr>
        <w:pStyle w:val="MRSchedPara3"/>
        <w:spacing w:before="60" w:after="160" w:line="276" w:lineRule="auto"/>
        <w:ind w:right="261"/>
      </w:pPr>
      <w:r w:rsidRPr="00DE4EBD">
        <w:t xml:space="preserve">as being wanted by Interpol or any national law enforcement body in connection with </w:t>
      </w:r>
      <w:proofErr w:type="gramStart"/>
      <w:r w:rsidRPr="00DE4EBD">
        <w:t>crime;</w:t>
      </w:r>
      <w:proofErr w:type="gramEnd"/>
    </w:p>
    <w:p w14:paraId="0DFF352D" w14:textId="1678114B" w:rsidR="005F6D33" w:rsidRPr="00DE4EBD" w:rsidRDefault="005F6D33" w:rsidP="00375755">
      <w:pPr>
        <w:pStyle w:val="MRSchedPara3"/>
        <w:spacing w:before="60" w:after="160" w:line="276" w:lineRule="auto"/>
        <w:ind w:right="261"/>
      </w:pPr>
      <w:r w:rsidRPr="00DE4EBD">
        <w:t xml:space="preserve">as being subject to regulatory action by a national or international enforcement </w:t>
      </w:r>
      <w:proofErr w:type="gramStart"/>
      <w:r w:rsidRPr="00DE4EBD">
        <w:t>body;</w:t>
      </w:r>
      <w:proofErr w:type="gramEnd"/>
    </w:p>
    <w:p w14:paraId="12A7B320" w14:textId="7C6084EE" w:rsidR="005F6D33" w:rsidRPr="00DE4EBD" w:rsidRDefault="005F6D33" w:rsidP="00375755">
      <w:pPr>
        <w:pStyle w:val="MRSchedPara3"/>
        <w:spacing w:before="60" w:after="160" w:line="276" w:lineRule="auto"/>
        <w:ind w:right="261"/>
      </w:pPr>
      <w:r w:rsidRPr="00DE4EBD">
        <w:t xml:space="preserve">as being subject to export, </w:t>
      </w:r>
      <w:proofErr w:type="gramStart"/>
      <w:r w:rsidRPr="00DE4EBD">
        <w:t>trade</w:t>
      </w:r>
      <w:proofErr w:type="gramEnd"/>
      <w:r w:rsidRPr="00DE4EBD">
        <w:t xml:space="preserv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6" w:name="_Ref511302589"/>
      <w:r w:rsidRPr="00DE4EBD">
        <w:lastRenderedPageBreak/>
        <w:t>The Supplier warrants that it will not make payment to, transfer property to, or otherwise have dealings with, any Prohibited Entity.</w:t>
      </w:r>
      <w:bookmarkEnd w:id="116"/>
    </w:p>
    <w:p w14:paraId="7A938F6F" w14:textId="537CA095" w:rsidR="005F6D33" w:rsidRPr="00DE4EBD" w:rsidRDefault="005F6D33" w:rsidP="00375755">
      <w:pPr>
        <w:pStyle w:val="MRSchedPara2"/>
        <w:spacing w:before="60" w:after="160" w:line="276" w:lineRule="auto"/>
        <w:ind w:right="261"/>
      </w:pPr>
      <w:bookmarkStart w:id="117" w:name="_Ref511302671"/>
      <w:r w:rsidRPr="00DE4EBD">
        <w:t xml:space="preserve">If any of the Supplier, the Supplier’s Team or the Supplier’s Team’s directors or shareholders (where applicable) </w:t>
      </w:r>
      <w:proofErr w:type="gramStart"/>
      <w:r w:rsidRPr="00DE4EBD">
        <w:t>is</w:t>
      </w:r>
      <w:bookmarkEnd w:id="117"/>
      <w:proofErr w:type="gramEnd"/>
    </w:p>
    <w:p w14:paraId="09F281F9" w14:textId="7A584131" w:rsidR="005F6D33" w:rsidRPr="00DE4EBD" w:rsidRDefault="005F6D33" w:rsidP="00375755">
      <w:pPr>
        <w:pStyle w:val="MRSchedPara3"/>
        <w:spacing w:before="60" w:after="160" w:line="276" w:lineRule="auto"/>
        <w:ind w:right="261"/>
      </w:pPr>
      <w:bookmarkStart w:id="118"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or</w:t>
      </w:r>
      <w:bookmarkEnd w:id="118"/>
      <w:r w:rsidRPr="00DE4EBD">
        <w:t xml:space="preserve"> </w:t>
      </w:r>
    </w:p>
    <w:p w14:paraId="3770EF9F" w14:textId="70D3DFD2" w:rsidR="005F6D33" w:rsidRPr="00DE4EBD" w:rsidRDefault="005F6D33" w:rsidP="00375755">
      <w:pPr>
        <w:pStyle w:val="MRSchedPara3"/>
        <w:spacing w:before="60" w:after="160" w:line="276" w:lineRule="auto"/>
        <w:ind w:right="261"/>
      </w:pPr>
      <w:bookmarkStart w:id="119"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w:t>
      </w:r>
      <w:bookmarkEnd w:id="119"/>
    </w:p>
    <w:p w14:paraId="02A56927" w14:textId="2CE71D4F"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below.</w:t>
      </w:r>
    </w:p>
    <w:p w14:paraId="1EBFAE19" w14:textId="08164825" w:rsidR="005F6D33" w:rsidRPr="00DE4EBD" w:rsidRDefault="005F6D33" w:rsidP="00375755">
      <w:pPr>
        <w:pStyle w:val="MRSchedPara2"/>
        <w:spacing w:before="60" w:after="160" w:line="276" w:lineRule="auto"/>
        <w:ind w:right="261"/>
      </w:pPr>
      <w:bookmarkStart w:id="120"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0C6952">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0C6952">
        <w:t>15.6.2</w:t>
      </w:r>
      <w:r w:rsidRPr="00DE4EBD">
        <w:fldChar w:fldCharType="end"/>
      </w:r>
      <w:r w:rsidRPr="00DE4EBD">
        <w:t>, and without prejudice to any other rights or remedies which the British Council may have, the British Council may:</w:t>
      </w:r>
      <w:bookmarkEnd w:id="120"/>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DC2E8B" w:rsidR="005F6D33" w:rsidRPr="00DE4EBD" w:rsidRDefault="005F6D33" w:rsidP="00375755">
      <w:pPr>
        <w:pStyle w:val="MRSchedPara2"/>
        <w:spacing w:before="60" w:after="160" w:line="276" w:lineRule="auto"/>
        <w:ind w:right="261"/>
      </w:pPr>
      <w:bookmarkStart w:id="121"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w:t>
      </w:r>
      <w:bookmarkEnd w:id="121"/>
    </w:p>
    <w:p w14:paraId="47EB1964" w14:textId="63CEAB86"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0C6952">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0C6952">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2" w:name="_Ref511302703"/>
      <w:r w:rsidRPr="00DE4EBD">
        <w:t>maintain accurate and up to date records of</w:t>
      </w:r>
      <w:bookmarkEnd w:id="122"/>
      <w:r w:rsidRPr="00DE4EBD">
        <w:t>:</w:t>
      </w:r>
    </w:p>
    <w:p w14:paraId="130BC479" w14:textId="093FDB4D" w:rsidR="005F6D33" w:rsidRPr="00DE4EBD" w:rsidRDefault="005F6D33" w:rsidP="00375755">
      <w:pPr>
        <w:pStyle w:val="MRSchedPara4"/>
        <w:spacing w:before="60" w:after="160" w:line="276" w:lineRule="auto"/>
        <w:ind w:right="261"/>
      </w:pPr>
      <w:r w:rsidRPr="00DE4EBD">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DE4EBD">
        <w:t>elsewhere;</w:t>
      </w:r>
      <w:proofErr w:type="gramEnd"/>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DE4EBD">
        <w:t>);</w:t>
      </w:r>
      <w:proofErr w:type="gramEnd"/>
    </w:p>
    <w:p w14:paraId="6C24335C" w14:textId="658038D7"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xml:space="preserve"> and all training and guidance provided to Relevant Persons in respect of the obligations under this clause and applicable laws for the prevention of tax </w:t>
      </w:r>
      <w:proofErr w:type="gramStart"/>
      <w:r w:rsidRPr="00DE4EBD">
        <w:t>evasion;</w:t>
      </w:r>
      <w:proofErr w:type="gramEnd"/>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522ACBC5"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00697BB3" w14:textId="54A8DDBB"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0C6952">
        <w:t>15.9.2</w:t>
      </w:r>
      <w:r w:rsidRPr="00DE4EBD">
        <w:fldChar w:fldCharType="end"/>
      </w:r>
      <w:r w:rsidRPr="00DE4EBD">
        <w:t>; and</w:t>
      </w:r>
    </w:p>
    <w:p w14:paraId="69BB428A" w14:textId="11D05A9D"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w:t>
      </w:r>
      <w:proofErr w:type="gramStart"/>
      <w:r w:rsidRPr="00DE4EBD">
        <w:t>at all times</w:t>
      </w:r>
      <w:proofErr w:type="gramEnd"/>
      <w:r w:rsidRPr="00DE4EBD">
        <w:t xml:space="preserve">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4FF49109" w14:textId="4C1F3893"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3" w:name="_Ref122338597"/>
      <w:bookmarkStart w:id="124" w:name="_Hlk122345949"/>
      <w:bookmarkStart w:id="125" w:name="_Ref205953980"/>
      <w:bookmarkStart w:id="126" w:name="_Toc207776122"/>
      <w:bookmarkStart w:id="127" w:name="_Toc207776270"/>
      <w:bookmarkEnd w:id="109"/>
      <w:bookmarkEnd w:id="110"/>
      <w:bookmarkEnd w:id="111"/>
      <w:r w:rsidRPr="00B8291E">
        <w:rPr>
          <w:rFonts w:cs="Arial"/>
        </w:rPr>
        <w:t>Data Processing</w:t>
      </w:r>
      <w:bookmarkEnd w:id="123"/>
    </w:p>
    <w:p w14:paraId="48CAC42A" w14:textId="3B6AAF06" w:rsidR="00C759E5" w:rsidRPr="00B8291E" w:rsidRDefault="00C759E5" w:rsidP="00375755">
      <w:pPr>
        <w:pStyle w:val="MRSchedPara2"/>
        <w:spacing w:before="60" w:after="160" w:line="276" w:lineRule="auto"/>
        <w:rPr>
          <w:rFonts w:cs="Arial"/>
        </w:rPr>
      </w:pPr>
      <w:bookmarkStart w:id="128" w:name="_Ref121386908"/>
      <w:bookmarkStart w:id="129"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0C6952">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0C6952">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28"/>
    </w:p>
    <w:p w14:paraId="25D44C70" w14:textId="77777777" w:rsidR="00C759E5" w:rsidRPr="00B8291E" w:rsidRDefault="00C759E5" w:rsidP="00375755">
      <w:pPr>
        <w:pStyle w:val="MRSchedPara2"/>
        <w:spacing w:before="60" w:after="160" w:line="276" w:lineRule="auto"/>
        <w:rPr>
          <w:rFonts w:cs="Arial"/>
        </w:rPr>
      </w:pPr>
      <w:bookmarkStart w:id="130" w:name="_Ref122343239"/>
      <w:r w:rsidRPr="00B8291E">
        <w:rPr>
          <w:rFonts w:cs="Arial"/>
        </w:rPr>
        <w:t>In this clause:</w:t>
      </w:r>
      <w:bookmarkEnd w:id="130"/>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roofErr w:type="gramStart"/>
      <w:r w:rsidRPr="00B8291E">
        <w:t>);</w:t>
      </w:r>
      <w:proofErr w:type="gramEnd"/>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xml:space="preserve">” has the same meaning as in the Data Protection </w:t>
      </w:r>
      <w:proofErr w:type="gramStart"/>
      <w:r w:rsidRPr="00B8291E">
        <w:t>Legislation;</w:t>
      </w:r>
      <w:proofErr w:type="gramEnd"/>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xml:space="preserve">” means the UK Data Protection Act </w:t>
      </w:r>
      <w:proofErr w:type="gramStart"/>
      <w:r w:rsidRPr="00B8291E">
        <w:t>2018;</w:t>
      </w:r>
      <w:proofErr w:type="gramEnd"/>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xml:space="preserve">” means the General Data Protection Regulation (EU) </w:t>
      </w:r>
      <w:proofErr w:type="gramStart"/>
      <w:r w:rsidRPr="00B8291E">
        <w:t>2016/679;</w:t>
      </w:r>
      <w:proofErr w:type="gramEnd"/>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xml:space="preserve">” means, as applicable, the EU GDPR or the UK </w:t>
      </w:r>
      <w:proofErr w:type="gramStart"/>
      <w:r w:rsidRPr="00B8291E">
        <w:t>GDPR;</w:t>
      </w:r>
      <w:proofErr w:type="gramEnd"/>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xml:space="preserve">” has the same meaning as in the </w:t>
      </w:r>
      <w:proofErr w:type="gramStart"/>
      <w:r w:rsidRPr="00B8291E">
        <w:t>GDPR;</w:t>
      </w:r>
      <w:proofErr w:type="gramEnd"/>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xml:space="preserve">” means “personal data” (as defined in the Data Protection Legislation) that are Processed under this </w:t>
      </w:r>
      <w:proofErr w:type="gramStart"/>
      <w:r w:rsidRPr="00B8291E">
        <w:t>Agreement;</w:t>
      </w:r>
      <w:proofErr w:type="gramEnd"/>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B8291E">
        <w:t>processed;</w:t>
      </w:r>
      <w:proofErr w:type="gramEnd"/>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xml:space="preserve">” has the same meaning as in the Data Protection Legislation and “Process” and “Processed” shall be construed </w:t>
      </w:r>
      <w:proofErr w:type="gramStart"/>
      <w:r w:rsidRPr="00B8291E">
        <w:t>accordingly;</w:t>
      </w:r>
      <w:proofErr w:type="gramEnd"/>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roofErr w:type="gramStart"/>
      <w:r w:rsidRPr="00B8291E">
        <w:t>);</w:t>
      </w:r>
      <w:proofErr w:type="gramEnd"/>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w:t>
      </w:r>
      <w:proofErr w:type="gramStart"/>
      <w:r w:rsidRPr="00B8291E">
        <w:t>Processor;</w:t>
      </w:r>
      <w:proofErr w:type="gramEnd"/>
      <w:r w:rsidRPr="00B8291E">
        <w:t xml:space="preserve">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xml:space="preserve">” means any independent public authority responsible for monitoring the application of the Data Protection Legislation in the UK or any member state of the European </w:t>
      </w:r>
      <w:proofErr w:type="gramStart"/>
      <w:r w:rsidRPr="00B8291E">
        <w:t>Union;</w:t>
      </w:r>
      <w:proofErr w:type="gramEnd"/>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1" w:name="_Ref122342027"/>
      <w:r w:rsidRPr="00B8291E">
        <w:rPr>
          <w:rFonts w:cs="Arial"/>
        </w:rPr>
        <w:t xml:space="preserve">For the purposes of the Data Protection Legislation, the British Council is the </w:t>
      </w:r>
      <w:proofErr w:type="gramStart"/>
      <w:r w:rsidRPr="00B8291E">
        <w:rPr>
          <w:rFonts w:cs="Arial"/>
        </w:rPr>
        <w:t>Controller</w:t>
      </w:r>
      <w:proofErr w:type="gramEnd"/>
      <w:r w:rsidRPr="00B8291E">
        <w:rPr>
          <w:rFonts w:cs="Arial"/>
        </w:rPr>
        <w:t xml:space="preserve"> and the </w:t>
      </w:r>
      <w:r w:rsidR="00FB4312" w:rsidRPr="00B8291E">
        <w:rPr>
          <w:rFonts w:cs="Arial"/>
        </w:rPr>
        <w:t xml:space="preserve">Supplier </w:t>
      </w:r>
      <w:r w:rsidRPr="00B8291E">
        <w:rPr>
          <w:rFonts w:cs="Arial"/>
        </w:rPr>
        <w:t>is the Processor in respect of the Personal Data.</w:t>
      </w:r>
      <w:bookmarkEnd w:id="131"/>
    </w:p>
    <w:p w14:paraId="3FF4C749" w14:textId="74B39649"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2228164C"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0C6952">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w:t>
      </w:r>
      <w:proofErr w:type="gramStart"/>
      <w:r w:rsidRPr="00B8291E">
        <w:rPr>
          <w:rFonts w:cs="Arial"/>
        </w:rPr>
        <w:t>Data;</w:t>
      </w:r>
      <w:proofErr w:type="gramEnd"/>
      <w:r w:rsidRPr="00B8291E">
        <w:rPr>
          <w:rFonts w:cs="Arial"/>
        </w:rPr>
        <w:t xml:space="preserve">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 xml:space="preserve">subject to adequate training in the use, protection and handling of personal </w:t>
      </w:r>
      <w:proofErr w:type="gramStart"/>
      <w:r w:rsidRPr="00B8291E">
        <w:rPr>
          <w:rFonts w:cs="Arial"/>
        </w:rPr>
        <w:t>data;</w:t>
      </w:r>
      <w:proofErr w:type="gramEnd"/>
    </w:p>
    <w:p w14:paraId="2BD0C641" w14:textId="5C72C1D3" w:rsidR="00C759E5" w:rsidRPr="00B8291E" w:rsidRDefault="00C759E5" w:rsidP="00375755">
      <w:pPr>
        <w:pStyle w:val="MRSchedPara3"/>
        <w:spacing w:before="60" w:after="160" w:line="276" w:lineRule="auto"/>
        <w:rPr>
          <w:rFonts w:cs="Arial"/>
        </w:rPr>
      </w:pPr>
      <w:bookmarkStart w:id="132"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w:t>
      </w:r>
      <w:proofErr w:type="gramStart"/>
      <w:r w:rsidRPr="00B8291E">
        <w:rPr>
          <w:rFonts w:cs="Arial"/>
        </w:rPr>
        <w:t>at all times</w:t>
      </w:r>
      <w:proofErr w:type="gramEnd"/>
      <w:r w:rsidRPr="00B8291E">
        <w:rPr>
          <w:rFonts w:cs="Arial"/>
        </w:rPr>
        <w:t xml:space="preserve">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0C6952">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 xml:space="preserve">shall provide such evidence within three working </w:t>
      </w:r>
      <w:proofErr w:type="gramStart"/>
      <w:r w:rsidRPr="00B8291E">
        <w:rPr>
          <w:rFonts w:cs="Arial"/>
        </w:rPr>
        <w:t>days;</w:t>
      </w:r>
      <w:bookmarkEnd w:id="132"/>
      <w:proofErr w:type="gramEnd"/>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 xml:space="preserve">carrying out and/or reviewing data protection impact assessments where necessary in accordance with Article 35 of the </w:t>
      </w:r>
      <w:proofErr w:type="gramStart"/>
      <w:r w:rsidRPr="00B8291E">
        <w:rPr>
          <w:rFonts w:cs="Arial"/>
        </w:rPr>
        <w:t>GDPR;</w:t>
      </w:r>
      <w:proofErr w:type="gramEnd"/>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1E1921E"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 xml:space="preserve">shall comply with the following </w:t>
      </w:r>
      <w:proofErr w:type="gramStart"/>
      <w:r w:rsidRPr="00B8291E">
        <w:rPr>
          <w:rFonts w:cs="Arial"/>
        </w:rPr>
        <w:t>conditions;</w:t>
      </w:r>
      <w:proofErr w:type="gramEnd"/>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ensure the Data Subject has enforceable rights and effective legal </w:t>
      </w:r>
      <w:proofErr w:type="gramStart"/>
      <w:r w:rsidRPr="00B8291E">
        <w:rPr>
          <w:rFonts w:cs="Arial"/>
        </w:rPr>
        <w:t>remedies;</w:t>
      </w:r>
      <w:proofErr w:type="gramEnd"/>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w:t>
      </w:r>
      <w:proofErr w:type="gramStart"/>
      <w:r w:rsidRPr="00B8291E">
        <w:rPr>
          <w:rFonts w:cs="Arial"/>
        </w:rPr>
        <w:t>transferred;</w:t>
      </w:r>
      <w:proofErr w:type="gramEnd"/>
      <w:r w:rsidRPr="00B8291E">
        <w:rPr>
          <w:rFonts w:cs="Arial"/>
        </w:rPr>
        <w:t xml:space="preserve">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 xml:space="preserve">if it becomes aware that in following the instructions of the British Council, it shall be breaching the Data Protection </w:t>
      </w:r>
      <w:proofErr w:type="gramStart"/>
      <w:r w:rsidRPr="00B8291E">
        <w:rPr>
          <w:rFonts w:cs="Arial"/>
        </w:rPr>
        <w:t>Legislation;</w:t>
      </w:r>
      <w:proofErr w:type="gramEnd"/>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B8291E">
        <w:rPr>
          <w:rFonts w:cs="Arial"/>
        </w:rPr>
        <w:t>otherwise;</w:t>
      </w:r>
      <w:proofErr w:type="gramEnd"/>
    </w:p>
    <w:p w14:paraId="5809D486" w14:textId="385FB2D0" w:rsidR="00C759E5" w:rsidRPr="00B8291E" w:rsidRDefault="00C759E5" w:rsidP="00375755">
      <w:pPr>
        <w:pStyle w:val="MRSchedPara3"/>
        <w:spacing w:before="60" w:after="160" w:line="276" w:lineRule="auto"/>
        <w:rPr>
          <w:rFonts w:cs="Arial"/>
        </w:rPr>
      </w:pPr>
      <w:bookmarkStart w:id="133" w:name="_Ref122342996"/>
      <w:r w:rsidRPr="00B8291E">
        <w:rPr>
          <w:rFonts w:cs="Arial"/>
        </w:rPr>
        <w:t xml:space="preserve">if the </w:t>
      </w:r>
      <w:r w:rsidR="00FB4312" w:rsidRPr="00B8291E">
        <w:rPr>
          <w:rFonts w:cs="Arial"/>
        </w:rPr>
        <w:t xml:space="preserve">Supplier </w:t>
      </w:r>
      <w:r w:rsidRPr="00B8291E">
        <w:rPr>
          <w:rFonts w:cs="Arial"/>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B8291E">
        <w:rPr>
          <w:rFonts w:cs="Arial"/>
        </w:rPr>
        <w:t>interest;</w:t>
      </w:r>
      <w:bookmarkEnd w:id="133"/>
      <w:proofErr w:type="gramEnd"/>
    </w:p>
    <w:p w14:paraId="0C2B100B" w14:textId="77777777" w:rsidR="00C759E5" w:rsidRPr="00B8291E" w:rsidRDefault="00C759E5" w:rsidP="00375755">
      <w:pPr>
        <w:pStyle w:val="MRSchedPara3"/>
        <w:spacing w:before="60" w:after="160" w:line="276" w:lineRule="auto"/>
        <w:rPr>
          <w:rFonts w:cs="Arial"/>
        </w:rPr>
      </w:pPr>
      <w:r w:rsidRPr="00B8291E">
        <w:rPr>
          <w:rFonts w:cs="Arial"/>
        </w:rPr>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 xml:space="preserve">or a Sub-Processor from a Data Subject relating to the British Council’s obligations under the Data Protection </w:t>
      </w:r>
      <w:proofErr w:type="gramStart"/>
      <w:r w:rsidRPr="00B8291E">
        <w:rPr>
          <w:rFonts w:cs="Arial"/>
        </w:rPr>
        <w:t>Legislation;</w:t>
      </w:r>
      <w:proofErr w:type="gramEnd"/>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w:t>
      </w:r>
      <w:proofErr w:type="gramStart"/>
      <w:r w:rsidRPr="00B8291E">
        <w:rPr>
          <w:rFonts w:cs="Arial"/>
          <w:szCs w:val="22"/>
        </w:rPr>
        <w:t>Processor</w:t>
      </w:r>
      <w:proofErr w:type="gramEnd"/>
      <w:r w:rsidRPr="00B8291E">
        <w:rPr>
          <w:rFonts w:cs="Arial"/>
          <w:szCs w:val="22"/>
        </w:rPr>
        <w:t xml:space="preserve"> or the British Council.</w:t>
      </w:r>
    </w:p>
    <w:p w14:paraId="15A6278A" w14:textId="5C0A8109" w:rsidR="00C759E5" w:rsidRPr="00B8291E" w:rsidRDefault="00C759E5" w:rsidP="00375755">
      <w:pPr>
        <w:pStyle w:val="MRSchedPara2"/>
        <w:spacing w:before="60" w:after="160" w:line="276" w:lineRule="auto"/>
        <w:rPr>
          <w:rFonts w:cs="Arial"/>
        </w:rPr>
      </w:pPr>
      <w:bookmarkStart w:id="134" w:name="_Ref122343193"/>
      <w:r w:rsidRPr="00B8291E">
        <w:rPr>
          <w:rFonts w:cs="Arial"/>
        </w:rPr>
        <w:t xml:space="preserve">The </w:t>
      </w:r>
      <w:r w:rsidR="00FB4312" w:rsidRPr="00B8291E">
        <w:rPr>
          <w:rFonts w:cs="Arial"/>
        </w:rPr>
        <w:t xml:space="preserve">Supplier </w:t>
      </w:r>
      <w:r w:rsidRPr="00B8291E">
        <w:rPr>
          <w:rFonts w:cs="Arial"/>
        </w:rPr>
        <w:t>shall:</w:t>
      </w:r>
      <w:bookmarkEnd w:id="134"/>
    </w:p>
    <w:p w14:paraId="2247892A" w14:textId="77777777" w:rsidR="00C759E5" w:rsidRPr="00B8291E" w:rsidRDefault="00C759E5" w:rsidP="00375755">
      <w:pPr>
        <w:pStyle w:val="MRSchedPara3"/>
        <w:spacing w:before="60" w:after="160" w:line="276" w:lineRule="auto"/>
        <w:rPr>
          <w:rFonts w:cs="Arial"/>
        </w:rPr>
      </w:pPr>
      <w:bookmarkStart w:id="135" w:name="_Ref122343173"/>
      <w:r w:rsidRPr="00B8291E">
        <w:rPr>
          <w:rFonts w:cs="Arial"/>
        </w:rPr>
        <w:t xml:space="preserve">notify the British Council promptly (and in any event within 24 hours) of becoming aware of any actual, suspected or threatened Personal Data Breach of any component of the Personal </w:t>
      </w:r>
      <w:proofErr w:type="gramStart"/>
      <w:r w:rsidRPr="00B8291E">
        <w:rPr>
          <w:rFonts w:cs="Arial"/>
        </w:rPr>
        <w:t>Data;</w:t>
      </w:r>
      <w:bookmarkEnd w:id="135"/>
      <w:proofErr w:type="gramEnd"/>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54BC3AB6"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0C6952">
        <w:rPr>
          <w:rFonts w:cs="Arial"/>
        </w:rPr>
        <w:t>16.7.1</w:t>
      </w:r>
      <w:r w:rsidRPr="00B8291E">
        <w:rPr>
          <w:rFonts w:cs="Arial"/>
        </w:rPr>
        <w:fldChar w:fldCharType="end"/>
      </w:r>
      <w:r w:rsidR="00705C29">
        <w:rPr>
          <w:rFonts w:cs="Arial"/>
        </w:rPr>
        <w:t>.</w:t>
      </w:r>
    </w:p>
    <w:p w14:paraId="044A7153" w14:textId="45578161" w:rsidR="00C759E5" w:rsidRPr="00B8291E" w:rsidRDefault="00C759E5" w:rsidP="00375755">
      <w:pPr>
        <w:pStyle w:val="MRSchedPara2"/>
        <w:spacing w:before="60" w:after="160" w:line="276" w:lineRule="auto"/>
        <w:rPr>
          <w:rFonts w:cs="Arial"/>
        </w:rPr>
      </w:pPr>
      <w:bookmarkStart w:id="136"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0C6952">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6"/>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7"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7"/>
      <w:r w:rsidRPr="00B8291E">
        <w:rPr>
          <w:rFonts w:cs="Arial"/>
        </w:rPr>
        <w:t xml:space="preserve"> </w:t>
      </w:r>
    </w:p>
    <w:p w14:paraId="5083ABBB" w14:textId="31DD96F8"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0C6952">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38"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 xml:space="preserve">shall provide confirmation of destruction of any other copies including details of the date, </w:t>
      </w:r>
      <w:proofErr w:type="gramStart"/>
      <w:r w:rsidRPr="00B8291E">
        <w:rPr>
          <w:rFonts w:cs="Arial"/>
        </w:rPr>
        <w:t>time</w:t>
      </w:r>
      <w:proofErr w:type="gramEnd"/>
      <w:r w:rsidRPr="00B8291E">
        <w:rPr>
          <w:rFonts w:cs="Arial"/>
        </w:rPr>
        <w:t xml:space="preserve"> and method of destruction.</w:t>
      </w:r>
      <w:bookmarkEnd w:id="138"/>
    </w:p>
    <w:p w14:paraId="566C76CB" w14:textId="32C329CC" w:rsidR="00C759E5" w:rsidRPr="00B8291E" w:rsidRDefault="00C759E5" w:rsidP="00375755">
      <w:pPr>
        <w:pStyle w:val="MRSchedPara2"/>
        <w:spacing w:before="60" w:after="160" w:line="276" w:lineRule="auto"/>
        <w:rPr>
          <w:rFonts w:cs="Arial"/>
        </w:rPr>
      </w:pPr>
      <w:bookmarkStart w:id="139"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0C6952">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0C6952">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0C6952">
        <w:rPr>
          <w:rFonts w:cs="Arial"/>
        </w:rPr>
        <w:t>16.13</w:t>
      </w:r>
      <w:r w:rsidRPr="00B8291E">
        <w:rPr>
          <w:rFonts w:cs="Arial"/>
        </w:rPr>
        <w:fldChar w:fldCharType="end"/>
      </w:r>
      <w:r w:rsidRPr="00B8291E">
        <w:rPr>
          <w:rFonts w:cs="Arial"/>
        </w:rPr>
        <w:t xml:space="preserve"> above.</w:t>
      </w:r>
      <w:bookmarkEnd w:id="139"/>
      <w:bookmarkEnd w:id="124"/>
      <w:bookmarkEnd w:id="129"/>
    </w:p>
    <w:p w14:paraId="01ABC51B" w14:textId="039494A9" w:rsidR="005F6D33" w:rsidRPr="00DE4EBD" w:rsidRDefault="005F6D33" w:rsidP="00375755">
      <w:pPr>
        <w:pStyle w:val="MRSchedPara1"/>
        <w:spacing w:before="60" w:after="160" w:line="276" w:lineRule="auto"/>
        <w:ind w:right="261"/>
      </w:pPr>
      <w:r w:rsidRPr="00DE4EBD">
        <w:t>Audit</w:t>
      </w:r>
      <w:bookmarkEnd w:id="125"/>
      <w:bookmarkEnd w:id="126"/>
      <w:bookmarkEnd w:id="127"/>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0" w:name="_Toc207776124"/>
      <w:bookmarkStart w:id="141" w:name="_Toc207776272"/>
      <w:r w:rsidRPr="00DE4EBD">
        <w:t>Publicity</w:t>
      </w:r>
      <w:bookmarkEnd w:id="140"/>
      <w:bookmarkEnd w:id="141"/>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w:t>
      </w:r>
      <w:proofErr w:type="gramStart"/>
      <w:r w:rsidRPr="00DE4EBD">
        <w:t>trade mark</w:t>
      </w:r>
      <w:proofErr w:type="gramEnd"/>
      <w:r w:rsidRPr="00DE4EBD">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2" w:name="_Ref205954106"/>
      <w:bookmarkStart w:id="143" w:name="_Toc207776128"/>
      <w:bookmarkStart w:id="144" w:name="_Toc207776276"/>
      <w:r w:rsidRPr="00DE4EBD">
        <w:t>Health and Safety</w:t>
      </w:r>
      <w:bookmarkEnd w:id="142"/>
      <w:bookmarkEnd w:id="143"/>
      <w:bookmarkEnd w:id="144"/>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 xml:space="preserve">The Supplier shall take all necessary measures to comply with the requirements of the Health &amp; Safety at Work Etc Act 1974 (or any equivalent legislation in any applicable jurisdiction) and any other acts, orders, </w:t>
      </w:r>
      <w:proofErr w:type="gramStart"/>
      <w:r w:rsidRPr="00DE4EBD">
        <w:t>regulations</w:t>
      </w:r>
      <w:proofErr w:type="gramEnd"/>
      <w:r w:rsidRPr="00DE4EBD">
        <w:t xml:space="preserve">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5" w:name="_Toc207776129"/>
      <w:bookmarkStart w:id="146" w:name="_Toc207776277"/>
      <w:r w:rsidRPr="00DE4EBD">
        <w:t>Employees</w:t>
      </w:r>
      <w:bookmarkEnd w:id="145"/>
      <w:bookmarkEnd w:id="146"/>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7" w:name="_Ref447620328"/>
      <w:r w:rsidRPr="00DE4EBD">
        <w:t>afeguarding and Protecting Children and Vulnerable Adults</w:t>
      </w:r>
      <w:bookmarkEnd w:id="147"/>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48" w:name="_Ref455748416"/>
      <w:r w:rsidRPr="00DE4EBD">
        <w:t>The Supplier shall:</w:t>
      </w:r>
      <w:bookmarkEnd w:id="148"/>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w:t>
      </w:r>
      <w:proofErr w:type="gramStart"/>
      <w:r w:rsidRPr="00DE4EBD">
        <w:t>chain;</w:t>
      </w:r>
      <w:proofErr w:type="gramEnd"/>
      <w:r w:rsidRPr="00DE4EBD">
        <w:t xml:space="preserve"> </w:t>
      </w:r>
    </w:p>
    <w:p w14:paraId="3E390E17" w14:textId="204383C0" w:rsidR="005F6D33" w:rsidRPr="00DE4EBD" w:rsidRDefault="005F6D33" w:rsidP="00375755">
      <w:pPr>
        <w:pStyle w:val="MRSchedPara3"/>
        <w:spacing w:before="60" w:after="160" w:line="276" w:lineRule="auto"/>
        <w:ind w:right="261"/>
      </w:pPr>
      <w:r w:rsidRPr="00DE4EBD">
        <w:t xml:space="preserve">implement due diligence procedures for its own suppliers, subcontractors and other participants in its supply chains, to ensure that there is no slavery or human trafficking in its supply </w:t>
      </w:r>
      <w:proofErr w:type="gramStart"/>
      <w:r w:rsidRPr="00DE4EBD">
        <w:t>chains;</w:t>
      </w:r>
      <w:proofErr w:type="gramEnd"/>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7EE44A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0C6952">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 xml:space="preserve">reduce, </w:t>
      </w:r>
      <w:proofErr w:type="gramStart"/>
      <w:r w:rsidRPr="00DE4EBD">
        <w:t>withhold</w:t>
      </w:r>
      <w:proofErr w:type="gramEnd"/>
      <w:r w:rsidRPr="00DE4EBD">
        <w:t xml:space="preserve">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 xml:space="preserve">share with third </w:t>
      </w:r>
      <w:proofErr w:type="gramStart"/>
      <w:r w:rsidRPr="00DE4EBD">
        <w:t>parties</w:t>
      </w:r>
      <w:proofErr w:type="gramEnd"/>
      <w:r w:rsidRPr="00DE4EBD">
        <w:t xml:space="preserve"> information about such non-compliance.</w:t>
      </w:r>
    </w:p>
    <w:p w14:paraId="35DE50E3" w14:textId="19529D37" w:rsidR="005F6D33" w:rsidRPr="00DE4EBD" w:rsidRDefault="005F6D33" w:rsidP="00375755">
      <w:pPr>
        <w:pStyle w:val="MRSchedPara1"/>
        <w:spacing w:before="60" w:after="160" w:line="276" w:lineRule="auto"/>
        <w:ind w:right="261"/>
      </w:pPr>
      <w:r w:rsidRPr="00DE4EBD">
        <w:t xml:space="preserve">Equality, </w:t>
      </w:r>
      <w:proofErr w:type="gramStart"/>
      <w:r w:rsidRPr="00DE4EBD">
        <w:t>Diversity</w:t>
      </w:r>
      <w:proofErr w:type="gramEnd"/>
      <w:r w:rsidRPr="00DE4EBD">
        <w:t xml:space="preserve">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49" w:name="_Ref387827530"/>
      <w:r w:rsidRPr="00DE4EBD">
        <w:t>Assignment</w:t>
      </w:r>
      <w:bookmarkEnd w:id="149"/>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5E2977B1" w:rsidR="005F6D33" w:rsidRPr="00DE4EBD" w:rsidRDefault="005F6D33" w:rsidP="00375755">
      <w:pPr>
        <w:pStyle w:val="MRSchedPara2"/>
        <w:spacing w:before="60" w:after="160" w:line="276" w:lineRule="auto"/>
        <w:ind w:right="261"/>
      </w:pPr>
      <w:bookmarkStart w:id="150" w:name="_Ref387827455"/>
      <w:r w:rsidRPr="00DE4EBD">
        <w:t>The British Council may assign or novate this Agreement to: (</w:t>
      </w:r>
      <w:proofErr w:type="spellStart"/>
      <w:r w:rsidRPr="00DE4EBD">
        <w:t>i</w:t>
      </w:r>
      <w:proofErr w:type="spellEnd"/>
      <w:r w:rsidRPr="00DE4EBD">
        <w:t xml:space="preserve">) any separate entity Controlled by the British Council; (ii) </w:t>
      </w:r>
      <w:proofErr w:type="spellStart"/>
      <w:r w:rsidRPr="00DE4EBD">
        <w:t>any body</w:t>
      </w:r>
      <w:proofErr w:type="spellEnd"/>
      <w:r w:rsidRPr="00DE4EBD">
        <w:t xml:space="preserve"> or department which succeeds to those functions of the British Council to which this Agreement relates; or (iii) any provider of outsourcing or </w:t>
      </w:r>
      <w:proofErr w:type="gramStart"/>
      <w:r w:rsidRPr="00DE4EBD">
        <w:t>third party</w:t>
      </w:r>
      <w:proofErr w:type="gramEnd"/>
      <w:r w:rsidRPr="00DE4EBD">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0C6952">
        <w:t>24.2</w:t>
      </w:r>
      <w:r w:rsidRPr="00DE4EBD">
        <w:fldChar w:fldCharType="end"/>
      </w:r>
      <w:r w:rsidRPr="00DE4EBD">
        <w:t>.</w:t>
      </w:r>
      <w:bookmarkEnd w:id="150"/>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 xml:space="preserve">This Agreement and any documents referred to in it constitute the entire agreement and understanding between the parties with respect to the subject matter of this Agreement and supersede, </w:t>
      </w:r>
      <w:proofErr w:type="gramStart"/>
      <w:r w:rsidRPr="00DE4EBD">
        <w:t>cancel</w:t>
      </w:r>
      <w:proofErr w:type="gramEnd"/>
      <w:r w:rsidRPr="00DE4EBD">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1" w:name="_Ref387839268"/>
      <w:r w:rsidRPr="00DE4EBD">
        <w:t>Variation</w:t>
      </w:r>
      <w:bookmarkEnd w:id="151"/>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2" w:name="a273531"/>
      <w:r w:rsidRPr="00DE4EBD">
        <w:t>everance</w:t>
      </w:r>
      <w:bookmarkEnd w:id="152"/>
    </w:p>
    <w:p w14:paraId="209C9A30" w14:textId="62DAC99C" w:rsidR="005F6D33" w:rsidRPr="00DE4EBD" w:rsidRDefault="005F6D33" w:rsidP="00375755">
      <w:pPr>
        <w:pStyle w:val="MRSchedPara2"/>
        <w:spacing w:before="60" w:after="160" w:line="276" w:lineRule="auto"/>
        <w:ind w:right="261"/>
      </w:pPr>
      <w:r w:rsidRPr="00DE4EBD">
        <w:t xml:space="preserve">If any provision of this Agreement (or part of any provision) is found by any court or other authority of competent jurisdiction to be invalid, </w:t>
      </w:r>
      <w:proofErr w:type="gramStart"/>
      <w:r w:rsidRPr="00DE4EBD">
        <w:t>illegal</w:t>
      </w:r>
      <w:proofErr w:type="gramEnd"/>
      <w:r w:rsidRPr="00DE4EBD">
        <w:t xml:space="preserve">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3B79AA93"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0C6952">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0C6952">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t>
      </w:r>
      <w:proofErr w:type="gramStart"/>
      <w:r w:rsidRPr="00DE4EBD">
        <w:t>whether or not</w:t>
      </w:r>
      <w:proofErr w:type="gramEnd"/>
      <w:r w:rsidRPr="00DE4EBD">
        <w:t xml:space="preserve">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3" w:name="_Ref387827595"/>
      <w:r w:rsidRPr="00DE4EBD">
        <w:t>Force Majeure</w:t>
      </w:r>
      <w:bookmarkEnd w:id="153"/>
    </w:p>
    <w:p w14:paraId="7EE99A02" w14:textId="207D0C8F" w:rsidR="005F6D33" w:rsidRPr="00DE4EBD" w:rsidRDefault="005F6D33" w:rsidP="00375755">
      <w:pPr>
        <w:pStyle w:val="MRSchedPara2"/>
        <w:spacing w:before="60" w:after="160" w:line="276" w:lineRule="auto"/>
        <w:ind w:right="261"/>
      </w:pPr>
      <w:r w:rsidRPr="00DE4EBD">
        <w:t>S</w:t>
      </w:r>
      <w:bookmarkStart w:id="154"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0C6952">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0C6952">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4"/>
    </w:p>
    <w:p w14:paraId="62C628F9" w14:textId="7B441C77" w:rsidR="005F6D33" w:rsidRPr="00DE4EBD" w:rsidRDefault="005F6D33" w:rsidP="00375755">
      <w:pPr>
        <w:pStyle w:val="MRSchedPara2"/>
        <w:spacing w:before="60" w:after="160" w:line="276" w:lineRule="auto"/>
        <w:ind w:right="261"/>
      </w:pPr>
      <w:bookmarkStart w:id="155" w:name="a866385"/>
      <w:r w:rsidRPr="00DE4EBD">
        <w:t>A party that is subject to a Force Majeure Event shall not be in breach of this Agreement provided that:</w:t>
      </w:r>
      <w:bookmarkEnd w:id="155"/>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w:t>
      </w:r>
      <w:proofErr w:type="gramStart"/>
      <w:r w:rsidRPr="00DE4EBD">
        <w:t>performance;</w:t>
      </w:r>
      <w:proofErr w:type="gramEnd"/>
      <w:r w:rsidRPr="00DE4EBD">
        <w:t xml:space="preserv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63E68434" w:rsidR="005F6D33" w:rsidRPr="00DE4EBD" w:rsidRDefault="005F6D33" w:rsidP="00375755">
      <w:pPr>
        <w:pStyle w:val="MRSchedPara2"/>
        <w:spacing w:before="60" w:after="160" w:line="276" w:lineRule="auto"/>
        <w:ind w:right="261"/>
      </w:pPr>
      <w:bookmarkStart w:id="156"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0C6952">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6"/>
    </w:p>
    <w:p w14:paraId="49161A7E" w14:textId="1846834C" w:rsidR="005F6D33" w:rsidRPr="00DE4EBD" w:rsidRDefault="005F6D33" w:rsidP="00375755">
      <w:pPr>
        <w:pStyle w:val="MRSchedPara1"/>
        <w:spacing w:before="60" w:after="160" w:line="276" w:lineRule="auto"/>
        <w:ind w:right="261"/>
      </w:pPr>
      <w:bookmarkStart w:id="157" w:name="_Ref387839429"/>
      <w:r w:rsidRPr="00DE4EBD">
        <w:t>Notice</w:t>
      </w:r>
      <w:bookmarkEnd w:id="157"/>
    </w:p>
    <w:p w14:paraId="7003260B" w14:textId="27F162CA" w:rsidR="005F6D33" w:rsidRPr="00DE4EBD" w:rsidRDefault="005F6D33" w:rsidP="00375755">
      <w:pPr>
        <w:pStyle w:val="MRSchedPara2"/>
        <w:spacing w:before="60" w:after="160" w:line="276" w:lineRule="auto"/>
        <w:ind w:right="261"/>
      </w:pPr>
      <w:bookmarkStart w:id="158"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59" w:name="_Ref62829128"/>
      <w:r w:rsidRPr="00DE4EBD">
        <w:t xml:space="preserve">personally, in which case the notice will be deemed to have been received at the time of </w:t>
      </w:r>
      <w:proofErr w:type="gramStart"/>
      <w:r w:rsidRPr="00DE4EBD">
        <w:t>delivery;</w:t>
      </w:r>
      <w:bookmarkEnd w:id="159"/>
      <w:proofErr w:type="gramEnd"/>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DE4EBD">
        <w:t>posting;</w:t>
      </w:r>
      <w:proofErr w:type="gramEnd"/>
      <w:r w:rsidRPr="00DE4EBD">
        <w:t xml:space="preserve"> </w:t>
      </w:r>
    </w:p>
    <w:p w14:paraId="292E030F" w14:textId="216CA163" w:rsidR="005F6D33" w:rsidRPr="00DE4EBD" w:rsidRDefault="005F6D33" w:rsidP="00375755">
      <w:pPr>
        <w:pStyle w:val="MRSchedPara3"/>
        <w:spacing w:before="60" w:after="160" w:line="276" w:lineRule="auto"/>
        <w:ind w:right="261"/>
      </w:pPr>
      <w:bookmarkStart w:id="160"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0"/>
      <w:r w:rsidRPr="00DE4EBD">
        <w:t xml:space="preserve"> </w:t>
      </w:r>
    </w:p>
    <w:p w14:paraId="6538287E" w14:textId="2BD7BD1B" w:rsidR="005F6D33" w:rsidRPr="00DE4EBD" w:rsidRDefault="005F6D33" w:rsidP="00375755">
      <w:pPr>
        <w:pStyle w:val="MRSchedPara3"/>
        <w:spacing w:before="60" w:after="160" w:line="276" w:lineRule="auto"/>
        <w:ind w:right="261"/>
      </w:pPr>
      <w:bookmarkStart w:id="161"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0C6952">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w:t>
      </w:r>
      <w:proofErr w:type="gramStart"/>
      <w:r w:rsidRPr="00DE4EBD">
        <w:t>auto-reply</w:t>
      </w:r>
      <w:proofErr w:type="gramEnd"/>
      <w:r w:rsidRPr="00DE4EBD">
        <w:t xml:space="preserve"> or error message is received by the sender in response within one hour after transmission of the notice, then no valid notice has been delivered and the notice must be sent by one of the alternative methods listed above.</w:t>
      </w:r>
      <w:bookmarkEnd w:id="161"/>
    </w:p>
    <w:p w14:paraId="36766601" w14:textId="167E718C"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0C6952">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0C6952">
        <w:t>33.1.3</w:t>
      </w:r>
      <w:r w:rsidRPr="00DE4EBD">
        <w:fldChar w:fldCharType="end"/>
      </w:r>
      <w:r w:rsidRPr="00DE4EBD">
        <w:t xml:space="preserve"> above, it is sufficient to prove that the envelope containing the notice was properly addressed and posted or handed to the courier.</w:t>
      </w:r>
      <w:bookmarkEnd w:id="158"/>
    </w:p>
    <w:p w14:paraId="77341458" w14:textId="42E765EB" w:rsidR="005F6D33" w:rsidRPr="00DE4EBD" w:rsidRDefault="005F6D33" w:rsidP="00375755">
      <w:pPr>
        <w:pStyle w:val="MRSchedPara1"/>
        <w:spacing w:before="60" w:after="160" w:line="276" w:lineRule="auto"/>
        <w:ind w:right="261"/>
      </w:pPr>
      <w:bookmarkStart w:id="162" w:name="_Ref387827621"/>
      <w:r w:rsidRPr="00DE4EBD">
        <w:t>Governing Law and Dispute Resolution Procedure</w:t>
      </w:r>
      <w:bookmarkEnd w:id="162"/>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3BDA8AD4" w:rsidR="005F6D33" w:rsidRPr="00DE4EBD" w:rsidRDefault="005F6D33" w:rsidP="00375755">
      <w:pPr>
        <w:pStyle w:val="MRSchedPara2"/>
        <w:spacing w:before="60" w:after="160" w:line="276" w:lineRule="auto"/>
        <w:ind w:right="261"/>
      </w:pPr>
      <w:r w:rsidRPr="00DE4EBD">
        <w:t>S</w:t>
      </w:r>
      <w:bookmarkStart w:id="163"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3"/>
    </w:p>
    <w:p w14:paraId="0897D33F" w14:textId="551D5258" w:rsidR="005F6D33" w:rsidRPr="00DE4EBD" w:rsidRDefault="005F6D33" w:rsidP="00375755">
      <w:pPr>
        <w:pStyle w:val="MRSchedPara2"/>
        <w:spacing w:before="60" w:after="160" w:line="276" w:lineRule="auto"/>
        <w:ind w:right="261"/>
      </w:pPr>
      <w:bookmarkStart w:id="164"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0C6952">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0C6952">
        <w:t>34.2</w:t>
      </w:r>
      <w:r w:rsidRPr="00DE4EBD">
        <w:fldChar w:fldCharType="end"/>
      </w:r>
      <w:r w:rsidRPr="00DE4EBD">
        <w:t>.</w:t>
      </w:r>
      <w:bookmarkEnd w:id="164"/>
    </w:p>
    <w:p w14:paraId="7F14B978" w14:textId="4CEF4C1C"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even" r:id="rId16"/>
          <w:headerReference w:type="default" r:id="rId17"/>
          <w:headerReference w:type="first" r:id="rId18"/>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5" w:name="_Ref511303233"/>
      <w:bookmarkStart w:id="166" w:name="_Ref122530169"/>
      <w:bookmarkEnd w:id="165"/>
    </w:p>
    <w:bookmarkEnd w:id="166"/>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4E7274">
              <w:rPr>
                <w:i/>
                <w:iCs/>
                <w:lang w:bidi="he-IL"/>
              </w:rPr>
              <w:t>erasure</w:t>
            </w:r>
            <w:proofErr w:type="gramEnd"/>
            <w:r w:rsidRPr="004E7274">
              <w:rPr>
                <w:i/>
                <w:iCs/>
                <w:lang w:bidi="he-IL"/>
              </w:rPr>
              <w:t xml:space="preserve"> or destruction of data (whether or not by automated means) etc. The purpose might </w:t>
            </w:r>
            <w:proofErr w:type="gramStart"/>
            <w:r w:rsidRPr="004E7274">
              <w:rPr>
                <w:i/>
                <w:iCs/>
                <w:lang w:bidi="he-IL"/>
              </w:rPr>
              <w:t>include:</w:t>
            </w:r>
            <w:proofErr w:type="gramEnd"/>
            <w:r w:rsidRPr="004E7274">
              <w:rPr>
                <w:i/>
                <w:iCs/>
                <w:lang w:bidi="he-IL"/>
              </w:rPr>
              <w:t xml:space="preserv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 xml:space="preserve">[Examples here </w:t>
            </w:r>
            <w:proofErr w:type="gramStart"/>
            <w:r w:rsidRPr="004E7274">
              <w:rPr>
                <w:i/>
                <w:iCs/>
                <w:lang w:bidi="he-IL"/>
              </w:rPr>
              <w:t>include:</w:t>
            </w:r>
            <w:proofErr w:type="gramEnd"/>
            <w:r w:rsidRPr="004E7274">
              <w:rPr>
                <w:i/>
                <w:iCs/>
                <w:lang w:bidi="he-IL"/>
              </w:rPr>
              <w:t xml:space="preserv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 xml:space="preserve">[Examples </w:t>
            </w:r>
            <w:proofErr w:type="gramStart"/>
            <w:r w:rsidRPr="004E7274">
              <w:rPr>
                <w:i/>
                <w:iCs/>
                <w:lang w:bidi="he-IL"/>
              </w:rPr>
              <w:t>include:</w:t>
            </w:r>
            <w:proofErr w:type="gramEnd"/>
            <w:r w:rsidRPr="004E7274">
              <w:rPr>
                <w:i/>
                <w:iCs/>
                <w:lang w:bidi="he-IL"/>
              </w:rPr>
              <w:t xml:space="preserv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w:t>
            </w:r>
            <w:proofErr w:type="spellStart"/>
            <w:r w:rsidRPr="004E7274">
              <w:rPr>
                <w:i/>
                <w:lang w:val="en-US"/>
              </w:rPr>
              <w:t>organisation</w:t>
            </w:r>
            <w:proofErr w:type="spellEnd"/>
            <w:r w:rsidRPr="004E7274">
              <w:rPr>
                <w:i/>
                <w:lang w:val="en-US"/>
              </w:rPr>
              <w:t xml:space="preserve">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7" w:name="_Hlk122511174"/>
      <w:r w:rsidRPr="004E7274">
        <w:rPr>
          <w:rFonts w:cs="Arial"/>
          <w:u w:val="single"/>
        </w:rPr>
        <w:lastRenderedPageBreak/>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75176DB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19"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1F97FDFF"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0"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lastRenderedPageBreak/>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68"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69" w:name="_Hlk92885565"/>
      <w:bookmarkEnd w:id="168"/>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0" w:name="_Toc79405424"/>
      <w:r w:rsidRPr="00B8291E">
        <w:rPr>
          <w:rFonts w:ascii="Arial" w:hAnsi="Arial" w:cs="Arial"/>
          <w:color w:val="auto"/>
          <w:sz w:val="20"/>
          <w:szCs w:val="20"/>
        </w:rPr>
        <w:t>Part 1: Tables</w:t>
      </w:r>
      <w:bookmarkEnd w:id="170"/>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1 Redman Place, Stratford, London E20 </w:t>
            </w:r>
            <w:proofErr w:type="gramStart"/>
            <w:r w:rsidRPr="00B8291E">
              <w:t>1JQ</w:t>
            </w:r>
            <w:proofErr w:type="gramEnd"/>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00837AC5">
              <w:rPr>
                <w:rFonts w:ascii="Arial" w:eastAsia="Verdana" w:hAnsi="Arial" w:cs="Arial"/>
                <w:szCs w:val="20"/>
              </w:rPr>
            </w:r>
            <w:r w:rsidR="00837AC5">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00837AC5">
              <w:rPr>
                <w:rFonts w:ascii="Arial" w:eastAsia="Verdana" w:hAnsi="Arial" w:cs="Arial"/>
                <w:szCs w:val="20"/>
              </w:rPr>
            </w:r>
            <w:r w:rsidR="00837AC5">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436C363F"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0C6952">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837AC5">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00837AC5">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837AC5">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proofErr w:type="gramStart"/>
      <w:r w:rsidRPr="00B8291E">
        <w:rPr>
          <w:rFonts w:ascii="Arial" w:hAnsi="Arial" w:cs="Arial"/>
          <w:b/>
          <w:bCs/>
          <w:color w:val="auto"/>
          <w:sz w:val="20"/>
          <w:szCs w:val="20"/>
        </w:rPr>
        <w:t>Entering into</w:t>
      </w:r>
      <w:proofErr w:type="gramEnd"/>
      <w:r w:rsidRPr="00B8291E">
        <w:rPr>
          <w:rFonts w:ascii="Arial" w:hAnsi="Arial" w:cs="Arial"/>
          <w:b/>
          <w:bCs/>
          <w:color w:val="auto"/>
          <w:sz w:val="20"/>
          <w:szCs w:val="20"/>
        </w:rPr>
        <w:t xml:space="preserve">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1" w:name="_Ref90904580"/>
      <w:r w:rsidRPr="00B8291E">
        <w:rPr>
          <w:rFonts w:ascii="Arial" w:hAnsi="Arial" w:cs="Arial"/>
          <w:color w:val="auto"/>
          <w:sz w:val="20"/>
          <w:szCs w:val="20"/>
        </w:rPr>
        <w:t xml:space="preserve">Although Annex 1A and Clause 7 of the Approved EU SCCs require signature by the Parties, for the purpose of making Restricted Transfers, the Parties may </w:t>
      </w:r>
      <w:proofErr w:type="gramStart"/>
      <w:r w:rsidRPr="00B8291E">
        <w:rPr>
          <w:rFonts w:ascii="Arial" w:hAnsi="Arial" w:cs="Arial"/>
          <w:color w:val="auto"/>
          <w:sz w:val="20"/>
          <w:szCs w:val="20"/>
        </w:rPr>
        <w:t>enter into</w:t>
      </w:r>
      <w:proofErr w:type="gramEnd"/>
      <w:r w:rsidRPr="00B8291E">
        <w:rPr>
          <w:rFonts w:ascii="Arial" w:hAnsi="Arial" w:cs="Arial"/>
          <w:color w:val="auto"/>
          <w:sz w:val="20"/>
          <w:szCs w:val="20"/>
        </w:rPr>
        <w:t xml:space="preserve"> this Addendum in any way that makes them legally binding on the Parties and allows data subjects to enforce their rights as set out in this Addendum. </w:t>
      </w:r>
      <w:proofErr w:type="gramStart"/>
      <w:r w:rsidRPr="00B8291E">
        <w:rPr>
          <w:rFonts w:ascii="Arial" w:hAnsi="Arial" w:cs="Arial"/>
          <w:color w:val="auto"/>
          <w:sz w:val="20"/>
          <w:szCs w:val="20"/>
        </w:rPr>
        <w:t>Entering into</w:t>
      </w:r>
      <w:proofErr w:type="gramEnd"/>
      <w:r w:rsidRPr="00B8291E">
        <w:rPr>
          <w:rFonts w:ascii="Arial" w:hAnsi="Arial" w:cs="Arial"/>
          <w:color w:val="auto"/>
          <w:sz w:val="20"/>
          <w:szCs w:val="20"/>
        </w:rPr>
        <w:t xml:space="preserve"> this Addendum will have the same effect as signing the Approved EU SCCs and any part of the Approved EU SCCs.</w:t>
      </w:r>
      <w:bookmarkEnd w:id="171"/>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2"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5DA7C989"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lastRenderedPageBreak/>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69"/>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B8291E">
        <w:rPr>
          <w:rFonts w:ascii="Arial" w:hAnsi="Arial" w:cs="Arial"/>
          <w:color w:val="auto"/>
          <w:sz w:val="20"/>
          <w:szCs w:val="20"/>
        </w:rPr>
        <w:t>entered into</w:t>
      </w:r>
      <w:proofErr w:type="gramEnd"/>
      <w:r w:rsidRPr="00B8291E">
        <w:rPr>
          <w:rFonts w:ascii="Arial" w:hAnsi="Arial" w:cs="Arial"/>
          <w:color w:val="auto"/>
          <w:sz w:val="20"/>
          <w:szCs w:val="20"/>
        </w:rPr>
        <w:t xml:space="preserve">.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4CCE9DAF" w:rsidR="00B8291E" w:rsidRPr="00B8291E" w:rsidRDefault="00B8291E" w:rsidP="00375755">
      <w:pPr>
        <w:pStyle w:val="NormalNumbered"/>
        <w:spacing w:before="60" w:after="160"/>
        <w:jc w:val="both"/>
        <w:rPr>
          <w:rFonts w:ascii="Arial" w:hAnsi="Arial" w:cs="Arial"/>
          <w:color w:val="auto"/>
          <w:sz w:val="20"/>
          <w:szCs w:val="20"/>
        </w:rPr>
      </w:pPr>
      <w:bookmarkStart w:id="173"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3"/>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4"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5"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4"/>
      <w:bookmarkEnd w:id="175"/>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6729"/>
      <w:bookmarkStart w:id="177" w:name="_Hlk92876330"/>
      <w:r w:rsidRPr="00B8291E">
        <w:rPr>
          <w:rFonts w:ascii="Arial" w:hAnsi="Arial" w:cs="Arial"/>
          <w:color w:val="auto"/>
          <w:sz w:val="20"/>
          <w:szCs w:val="20"/>
        </w:rPr>
        <w:t>This Addendum incorporates the Addendum EU SCCs which are amended to the extent necessary so that:</w:t>
      </w:r>
      <w:bookmarkEnd w:id="176"/>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B8291E">
        <w:rPr>
          <w:rFonts w:cs="Arial"/>
          <w:sz w:val="20"/>
          <w:szCs w:val="20"/>
        </w:rPr>
        <w:t>transfers;</w:t>
      </w:r>
      <w:proofErr w:type="gramEnd"/>
      <w:r w:rsidRPr="00B8291E">
        <w:rPr>
          <w:rFonts w:cs="Arial"/>
          <w:sz w:val="20"/>
          <w:szCs w:val="20"/>
        </w:rPr>
        <w:t xml:space="preserve"> </w:t>
      </w:r>
    </w:p>
    <w:p w14:paraId="34A8E7C2" w14:textId="23BA8E5B"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44209D00" w:rsidR="00B8291E" w:rsidRPr="00B8291E" w:rsidRDefault="00B8291E" w:rsidP="00375755">
      <w:pPr>
        <w:pStyle w:val="NormalNumbered"/>
        <w:spacing w:before="60" w:after="160"/>
        <w:jc w:val="both"/>
        <w:rPr>
          <w:rFonts w:ascii="Arial" w:hAnsi="Arial" w:cs="Arial"/>
          <w:color w:val="auto"/>
          <w:sz w:val="20"/>
          <w:szCs w:val="20"/>
        </w:rPr>
      </w:pPr>
      <w:bookmarkStart w:id="178" w:name="_Ref90907070"/>
      <w:bookmarkEnd w:id="177"/>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0C2D5CCC"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71CA1E41" w:rsidR="00B8291E" w:rsidRPr="00B8291E" w:rsidRDefault="00B8291E" w:rsidP="00375755">
      <w:pPr>
        <w:pStyle w:val="NormalNumbered"/>
        <w:spacing w:before="60" w:after="160"/>
        <w:jc w:val="both"/>
        <w:rPr>
          <w:rFonts w:ascii="Arial" w:hAnsi="Arial" w:cs="Arial"/>
          <w:color w:val="auto"/>
          <w:sz w:val="20"/>
          <w:szCs w:val="20"/>
        </w:rPr>
      </w:pPr>
      <w:bookmarkStart w:id="179"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78"/>
      <w:bookmarkEnd w:id="179"/>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the “Clauses” means this Addendum, incorporating the Addendum EU </w:t>
      </w:r>
      <w:proofErr w:type="gramStart"/>
      <w:r w:rsidRPr="00B8291E">
        <w:rPr>
          <w:rFonts w:cs="Arial"/>
          <w:sz w:val="20"/>
          <w:szCs w:val="20"/>
        </w:rPr>
        <w:t>SCCs;</w:t>
      </w:r>
      <w:proofErr w:type="gramEnd"/>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and</w:t>
      </w:r>
      <w:proofErr w:type="gramEnd"/>
      <w:r w:rsidRPr="00B8291E">
        <w:rPr>
          <w:rFonts w:cs="Arial"/>
          <w:sz w:val="20"/>
          <w:szCs w:val="20"/>
        </w:rPr>
        <w:t>,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B8291E">
        <w:rPr>
          <w:rFonts w:cs="Arial"/>
          <w:sz w:val="20"/>
          <w:szCs w:val="20"/>
        </w:rPr>
        <w:t>”;</w:t>
      </w:r>
      <w:proofErr w:type="gramEnd"/>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w:t>
      </w:r>
      <w:proofErr w:type="spellStart"/>
      <w:r w:rsidRPr="00B8291E">
        <w:rPr>
          <w:rFonts w:cs="Arial"/>
          <w:sz w:val="20"/>
          <w:szCs w:val="20"/>
        </w:rPr>
        <w:t>i</w:t>
      </w:r>
      <w:proofErr w:type="spellEnd"/>
      <w:r w:rsidRPr="00B8291E">
        <w:rPr>
          <w:rFonts w:cs="Arial"/>
          <w:sz w:val="20"/>
          <w:szCs w:val="20"/>
        </w:rPr>
        <w:t>)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B8291E">
        <w:rPr>
          <w:rFonts w:cs="Arial"/>
          <w:sz w:val="20"/>
          <w:szCs w:val="20"/>
        </w:rPr>
        <w:t>Laws;</w:t>
      </w:r>
      <w:proofErr w:type="gramEnd"/>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References to Regulation (EU) 2018/1725 are </w:t>
      </w:r>
      <w:proofErr w:type="gramStart"/>
      <w:r w:rsidRPr="00B8291E">
        <w:rPr>
          <w:rFonts w:cs="Arial"/>
          <w:sz w:val="20"/>
          <w:szCs w:val="20"/>
        </w:rPr>
        <w:t>removed;</w:t>
      </w:r>
      <w:proofErr w:type="gramEnd"/>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roofErr w:type="gramStart"/>
      <w:r w:rsidRPr="00B8291E">
        <w:rPr>
          <w:rFonts w:cs="Arial"/>
          <w:sz w:val="20"/>
          <w:szCs w:val="20"/>
        </w:rPr>
        <w:t>”;</w:t>
      </w:r>
      <w:proofErr w:type="gramEnd"/>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Not </w:t>
      </w:r>
      <w:proofErr w:type="gramStart"/>
      <w:r w:rsidRPr="00B8291E">
        <w:rPr>
          <w:rFonts w:cs="Arial"/>
          <w:sz w:val="20"/>
          <w:szCs w:val="20"/>
        </w:rPr>
        <w:t>applicable;</w:t>
      </w:r>
      <w:proofErr w:type="gramEnd"/>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w:t>
      </w:r>
      <w:proofErr w:type="gramStart"/>
      <w:r w:rsidRPr="00B8291E">
        <w:rPr>
          <w:rFonts w:cs="Arial"/>
          <w:sz w:val="20"/>
          <w:szCs w:val="20"/>
        </w:rPr>
        <w:t>used;</w:t>
      </w:r>
      <w:proofErr w:type="gramEnd"/>
      <w:r w:rsidRPr="00B8291E">
        <w:rPr>
          <w:rFonts w:cs="Arial"/>
          <w:sz w:val="20"/>
          <w:szCs w:val="20"/>
        </w:rPr>
        <w:t xml:space="preserve">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roofErr w:type="gramStart"/>
      <w:r w:rsidRPr="00B8291E">
        <w:rPr>
          <w:rFonts w:cs="Arial"/>
          <w:sz w:val="20"/>
          <w:szCs w:val="20"/>
        </w:rPr>
        <w:t>”;</w:t>
      </w:r>
      <w:proofErr w:type="gramEnd"/>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w:t>
      </w:r>
      <w:proofErr w:type="spellStart"/>
      <w:r w:rsidRPr="00B8291E">
        <w:rPr>
          <w:rFonts w:cs="Arial"/>
          <w:sz w:val="20"/>
          <w:szCs w:val="20"/>
        </w:rPr>
        <w:t>i</w:t>
      </w:r>
      <w:proofErr w:type="spellEnd"/>
      <w:r w:rsidRPr="00B8291E">
        <w:rPr>
          <w:rFonts w:cs="Arial"/>
          <w:sz w:val="20"/>
          <w:szCs w:val="20"/>
        </w:rPr>
        <w:t>)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w:t>
      </w:r>
      <w:proofErr w:type="gramStart"/>
      <w:r w:rsidRPr="00B8291E">
        <w:rPr>
          <w:rFonts w:cs="Arial"/>
          <w:sz w:val="20"/>
          <w:szCs w:val="20"/>
        </w:rPr>
        <w:t>the</w:t>
      </w:r>
      <w:proofErr w:type="gramEnd"/>
      <w:r w:rsidRPr="00B8291E">
        <w:rPr>
          <w:rFonts w:cs="Arial"/>
          <w:sz w:val="20"/>
          <w:szCs w:val="20"/>
        </w:rPr>
        <w:t xml:space="preserv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lastRenderedPageBreak/>
        <w:t>“These Clauses are governed by the laws of England and Wales.</w:t>
      </w:r>
      <w:proofErr w:type="gramStart"/>
      <w:r w:rsidRPr="00B8291E">
        <w:rPr>
          <w:rFonts w:cs="Arial"/>
          <w:sz w:val="20"/>
          <w:szCs w:val="20"/>
        </w:rPr>
        <w:t>”;</w:t>
      </w:r>
      <w:proofErr w:type="gramEnd"/>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0"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0"/>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1"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1"/>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2" w:name="_Ref90907400"/>
      <w:r w:rsidRPr="00B8291E">
        <w:rPr>
          <w:rFonts w:ascii="Arial" w:hAnsi="Arial" w:cs="Arial"/>
          <w:color w:val="auto"/>
          <w:sz w:val="20"/>
          <w:szCs w:val="20"/>
        </w:rPr>
        <w:t>From time to time, the ICO may issue a revised Approved Addendum which:</w:t>
      </w:r>
      <w:bookmarkEnd w:id="182"/>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 xml:space="preserve">reflects changes to UK Data Protection </w:t>
      </w:r>
      <w:proofErr w:type="gramStart"/>
      <w:r w:rsidRPr="00B8291E">
        <w:rPr>
          <w:rFonts w:cs="Arial"/>
          <w:sz w:val="20"/>
          <w:szCs w:val="20"/>
        </w:rPr>
        <w:t>Laws;</w:t>
      </w:r>
      <w:proofErr w:type="gramEnd"/>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545C1AD5" w:rsidR="00B8291E" w:rsidRPr="00B8291E" w:rsidRDefault="00B8291E" w:rsidP="00375755">
      <w:pPr>
        <w:pStyle w:val="NormalNumbered"/>
        <w:spacing w:before="60" w:after="160"/>
        <w:jc w:val="both"/>
        <w:rPr>
          <w:rFonts w:ascii="Arial" w:hAnsi="Arial" w:cs="Arial"/>
          <w:color w:val="auto"/>
          <w:sz w:val="20"/>
          <w:szCs w:val="20"/>
        </w:rPr>
      </w:pPr>
      <w:bookmarkStart w:id="183" w:name="_Ref93329888"/>
      <w:bookmarkStart w:id="184"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3"/>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4"/>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5"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5"/>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17B68CC0"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 xml:space="preserve"> of those Mandatory Clauses.</w:t>
            </w:r>
          </w:p>
        </w:tc>
      </w:tr>
      <w:bookmarkEnd w:id="172"/>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lastRenderedPageBreak/>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7CAEF6FE"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21"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2B009BF7"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2"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lastRenderedPageBreak/>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lastRenderedPageBreak/>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w:t>
      </w:r>
      <w:r w:rsidRPr="00B8291E">
        <w:rPr>
          <w:rFonts w:cs="Arial"/>
          <w:noProof/>
          <w:sz w:val="20"/>
          <w:szCs w:val="20"/>
        </w:rPr>
        <w:lastRenderedPageBreak/>
        <w:t>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w:t>
      </w:r>
      <w:r w:rsidRPr="00B8291E">
        <w:rPr>
          <w:rFonts w:cs="Arial"/>
          <w:noProof/>
          <w:sz w:val="20"/>
          <w:szCs w:val="20"/>
        </w:rPr>
        <w:lastRenderedPageBreak/>
        <w:t xml:space="preserve">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lastRenderedPageBreak/>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lastRenderedPageBreak/>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lastRenderedPageBreak/>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6" w:name="_Ref42601435"/>
      <w:r w:rsidRPr="00B8291E">
        <w:rPr>
          <w:rFonts w:cs="Arial"/>
          <w:b/>
          <w:noProof/>
          <w:sz w:val="20"/>
          <w:szCs w:val="20"/>
        </w:rPr>
        <w:t>B. DESCRIPTION OF TRANSFER</w:t>
      </w:r>
      <w:bookmarkEnd w:id="186"/>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Sensitive data transferred (if applicable) and applied restrictions or safeguards that fully take into consideration the nature of the data and the risks involved, such as for instance strict purpose limitation, access restrictions </w:t>
      </w:r>
      <w:r w:rsidRPr="00B8291E">
        <w:rPr>
          <w:rFonts w:cs="Arial"/>
          <w:i/>
          <w:noProof/>
          <w:sz w:val="20"/>
          <w:szCs w:val="20"/>
        </w:rPr>
        <w:lastRenderedPageBreak/>
        <w:t>(including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lastRenderedPageBreak/>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3E444B38"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23"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lastRenderedPageBreak/>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7" w:name="_Toc501369811"/>
      <w:bookmarkStart w:id="188" w:name="_Toc505602990"/>
      <w:bookmarkStart w:id="189" w:name="_Toc505780023"/>
      <w:bookmarkStart w:id="190" w:name="_Toc506305867"/>
      <w:bookmarkStart w:id="191" w:name="_Toc511035887"/>
    </w:p>
    <w:bookmarkEnd w:id="187"/>
    <w:bookmarkEnd w:id="188"/>
    <w:bookmarkEnd w:id="189"/>
    <w:bookmarkEnd w:id="190"/>
    <w:bookmarkEnd w:id="191"/>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7"/>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8FA5" w14:textId="77777777" w:rsidR="00CD656D" w:rsidRDefault="00CD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268EFD4B" w:rsidR="00A63CBF" w:rsidRPr="005101BC" w:rsidRDefault="008B2394" w:rsidP="00575F6F">
    <w:pPr>
      <w:pStyle w:val="Footer"/>
      <w:rPr>
        <w:sz w:val="16"/>
        <w:szCs w:val="16"/>
      </w:rPr>
    </w:pPr>
    <w:r w:rsidRPr="008B2394">
      <w:rPr>
        <w:sz w:val="16"/>
        <w:szCs w:val="16"/>
      </w:rPr>
      <w:t xml:space="preserve">Last updated: </w:t>
    </w:r>
    <w:r w:rsidR="00870C9E" w:rsidRPr="00870C9E">
      <w:rPr>
        <w:sz w:val="16"/>
        <w:szCs w:val="16"/>
      </w:rPr>
      <w:t>27 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BC54" w14:textId="77777777" w:rsidR="00CD656D" w:rsidRDefault="00CD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shd w:val="clear" w:color="auto" w:fill="FFFFFF"/>
        </w:rPr>
        <w:t>list</w:t>
      </w:r>
      <w:proofErr w:type="gramEnd"/>
      <w:r w:rsidRPr="00A674BA">
        <w:rPr>
          <w:shd w:val="clear" w:color="auto" w:fill="FFFFFF"/>
        </w:rPr>
        <w:t xml:space="preserve">.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 xml:space="preserve">The Agreement on the European Economic Area (EEA Agreement) provides for the extension of the European Union's internal market to the three EEA States Iceland, </w:t>
      </w:r>
      <w:proofErr w:type="gramStart"/>
      <w:r>
        <w:t>Liechtenstein</w:t>
      </w:r>
      <w:proofErr w:type="gramEnd"/>
      <w: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t>time-frame</w:t>
      </w:r>
      <w:proofErr w:type="gramEnd"/>
      <w:r>
        <w:t xml:space="preserve">. This refers </w:t>
      </w:r>
      <w:proofErr w:type="gramStart"/>
      <w:r>
        <w:t>in particular to</w:t>
      </w:r>
      <w:proofErr w:type="gramEnd"/>
      <w: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t>have to</w:t>
      </w:r>
      <w:proofErr w:type="gramEnd"/>
      <w: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8FE7" w14:textId="4806EA13" w:rsidR="00CD656D" w:rsidRDefault="00CD656D">
    <w:pPr>
      <w:pStyle w:val="Header"/>
    </w:pPr>
    <w:r>
      <w:rPr>
        <w:noProof/>
      </w:rPr>
      <w:pict w14:anchorId="1073D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4" o:spid="_x0000_s81922" type="#_x0000_t136" style="position:absolute;left:0;text-align:left;margin-left:0;margin-top:0;width:606.2pt;height:80.8pt;rotation:315;z-index:-251655168;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13B505D" w:rsidR="008B2394" w:rsidRPr="005F6D33" w:rsidRDefault="00CD656D" w:rsidP="005F6D33">
    <w:pPr>
      <w:pStyle w:val="Header"/>
    </w:pPr>
    <w:r>
      <w:rPr>
        <w:noProof/>
      </w:rPr>
      <w:pict w14:anchorId="23042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5" o:spid="_x0000_s81923" type="#_x0000_t136" style="position:absolute;left:0;text-align:left;margin-left:0;margin-top:0;width:606.2pt;height:80.8pt;rotation:315;z-index:-251653120;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64AD" w14:textId="14B7CAD0" w:rsidR="00CD656D" w:rsidRDefault="00CD656D">
    <w:pPr>
      <w:pStyle w:val="Header"/>
    </w:pPr>
    <w:r>
      <w:rPr>
        <w:noProof/>
      </w:rPr>
      <w:pict w14:anchorId="32C6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3" o:spid="_x0000_s81921" type="#_x0000_t136" style="position:absolute;left:0;text-align:left;margin-left:0;margin-top:0;width:606.2pt;height:80.8pt;rotation:315;z-index:-251657216;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98B0" w14:textId="64DB827C" w:rsidR="00CD656D" w:rsidRDefault="00CD656D">
    <w:pPr>
      <w:pStyle w:val="Header"/>
    </w:pPr>
    <w:r>
      <w:rPr>
        <w:noProof/>
      </w:rPr>
      <w:pict w14:anchorId="47B77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7" o:spid="_x0000_s81925" type="#_x0000_t136" style="position:absolute;left:0;text-align:left;margin-left:0;margin-top:0;width:606.2pt;height:80.8pt;rotation:315;z-index:-251649024;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6A277994" w:rsidR="00F432E7" w:rsidRPr="005F6D33" w:rsidRDefault="00CD656D" w:rsidP="005F6D33">
    <w:pPr>
      <w:pStyle w:val="Header"/>
    </w:pPr>
    <w:r>
      <w:rPr>
        <w:noProof/>
      </w:rPr>
      <w:pict w14:anchorId="725CB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8" o:spid="_x0000_s81926" type="#_x0000_t136" style="position:absolute;left:0;text-align:left;margin-left:0;margin-top:0;width:606.2pt;height:80.8pt;rotation:315;z-index:-251646976;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490A" w14:textId="514668D7" w:rsidR="00CD656D" w:rsidRDefault="00CD656D">
    <w:pPr>
      <w:pStyle w:val="Header"/>
    </w:pPr>
    <w:r>
      <w:rPr>
        <w:noProof/>
      </w:rPr>
      <w:pict w14:anchorId="4488D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956" o:spid="_x0000_s81924" type="#_x0000_t136" style="position:absolute;left:0;text-align:left;margin-left:0;margin-top:0;width:606.2pt;height:80.8pt;rotation:315;z-index:-251651072;mso-position-horizontal:center;mso-position-horizontal-relative:margin;mso-position-vertical:center;mso-position-vertical-relative:margin" o:allowincell="f" fillcolor="silver" stroked="f">
          <v:fill opacity=".5"/>
          <v:textpath style="font-family:&quot;Arial&quot;;font-size:1pt" string="DRAFT 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9"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2C4601"/>
    <w:multiLevelType w:val="multilevel"/>
    <w:tmpl w:val="D13C9630"/>
    <w:numStyleLink w:val="LMA"/>
  </w:abstractNum>
  <w:abstractNum w:abstractNumId="26" w15:restartNumberingAfterBreak="0">
    <w:nsid w:val="4D840B7B"/>
    <w:multiLevelType w:val="multilevel"/>
    <w:tmpl w:val="9B1CF228"/>
    <w:numStyleLink w:val="Definitions"/>
  </w:abstractNum>
  <w:abstractNum w:abstractNumId="27"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0"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1"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2"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3"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5" w15:restartNumberingAfterBreak="0">
    <w:nsid w:val="6D0C2F44"/>
    <w:multiLevelType w:val="multilevel"/>
    <w:tmpl w:val="7D42F14A"/>
    <w:numStyleLink w:val="Headings"/>
  </w:abstractNum>
  <w:abstractNum w:abstractNumId="36"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1"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8"/>
  </w:num>
  <w:num w:numId="4" w16cid:durableId="2011563509">
    <w:abstractNumId w:val="26"/>
  </w:num>
  <w:num w:numId="5" w16cid:durableId="1741905262">
    <w:abstractNumId w:val="35"/>
  </w:num>
  <w:num w:numId="6" w16cid:durableId="81725438">
    <w:abstractNumId w:val="25"/>
  </w:num>
  <w:num w:numId="7" w16cid:durableId="437793495">
    <w:abstractNumId w:val="40"/>
  </w:num>
  <w:num w:numId="8" w16cid:durableId="2078240296">
    <w:abstractNumId w:val="22"/>
  </w:num>
  <w:num w:numId="9" w16cid:durableId="504903656">
    <w:abstractNumId w:val="29"/>
  </w:num>
  <w:num w:numId="10" w16cid:durableId="1840578874">
    <w:abstractNumId w:val="21"/>
  </w:num>
  <w:num w:numId="11" w16cid:durableId="1483692192">
    <w:abstractNumId w:val="16"/>
  </w:num>
  <w:num w:numId="12" w16cid:durableId="2104106062">
    <w:abstractNumId w:val="31"/>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7"/>
  </w:num>
  <w:num w:numId="14" w16cid:durableId="853418223">
    <w:abstractNumId w:val="11"/>
  </w:num>
  <w:num w:numId="15" w16cid:durableId="1606306036">
    <w:abstractNumId w:val="36"/>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8"/>
  </w:num>
  <w:num w:numId="29" w16cid:durableId="300692600">
    <w:abstractNumId w:val="31"/>
  </w:num>
  <w:num w:numId="30" w16cid:durableId="364646133">
    <w:abstractNumId w:val="14"/>
  </w:num>
  <w:num w:numId="31" w16cid:durableId="80296659">
    <w:abstractNumId w:val="19"/>
  </w:num>
  <w:num w:numId="32" w16cid:durableId="1732387712">
    <w:abstractNumId w:val="39"/>
  </w:num>
  <w:num w:numId="33" w16cid:durableId="37824265">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7"/>
  </w:num>
  <w:num w:numId="54" w16cid:durableId="17291119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4"/>
  </w:num>
  <w:num w:numId="56" w16cid:durableId="236019305">
    <w:abstractNumId w:val="38"/>
  </w:num>
  <w:num w:numId="57" w16cid:durableId="621422609">
    <w:abstractNumId w:val="33"/>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0"/>
  </w:num>
  <w:num w:numId="60" w16cid:durableId="2055151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6"/>
  </w:num>
  <w:num w:numId="62" w16cid:durableId="422842412">
    <w:abstractNumId w:val="24"/>
  </w:num>
  <w:num w:numId="63" w16cid:durableId="2492357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720"/>
  <w:characterSpacingControl w:val="doNotCompress"/>
  <w:hdrShapeDefaults>
    <o:shapedefaults v:ext="edit" spidmax="81927"/>
    <o:shapelayout v:ext="edit">
      <o:idmap v:ext="edit" data="8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4369B"/>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C41E3"/>
    <w:rsid w:val="002C6D11"/>
    <w:rsid w:val="002E6ACD"/>
    <w:rsid w:val="00325BCD"/>
    <w:rsid w:val="0033319C"/>
    <w:rsid w:val="00347845"/>
    <w:rsid w:val="00375755"/>
    <w:rsid w:val="003903B8"/>
    <w:rsid w:val="003916E7"/>
    <w:rsid w:val="003958BD"/>
    <w:rsid w:val="003B665B"/>
    <w:rsid w:val="003C4E6B"/>
    <w:rsid w:val="003E5B58"/>
    <w:rsid w:val="003E5EBE"/>
    <w:rsid w:val="003F4557"/>
    <w:rsid w:val="00411FE8"/>
    <w:rsid w:val="004150E4"/>
    <w:rsid w:val="00441F46"/>
    <w:rsid w:val="00442EF0"/>
    <w:rsid w:val="00447623"/>
    <w:rsid w:val="00447A9C"/>
    <w:rsid w:val="004502F7"/>
    <w:rsid w:val="004665AB"/>
    <w:rsid w:val="00491249"/>
    <w:rsid w:val="004A41A9"/>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90D38"/>
    <w:rsid w:val="005A6CC6"/>
    <w:rsid w:val="005C06BF"/>
    <w:rsid w:val="005C7E7E"/>
    <w:rsid w:val="005E1F8F"/>
    <w:rsid w:val="005F0E46"/>
    <w:rsid w:val="005F6D33"/>
    <w:rsid w:val="0060418E"/>
    <w:rsid w:val="0061510D"/>
    <w:rsid w:val="00615D2F"/>
    <w:rsid w:val="00657185"/>
    <w:rsid w:val="00657E29"/>
    <w:rsid w:val="006652F5"/>
    <w:rsid w:val="00684890"/>
    <w:rsid w:val="00692221"/>
    <w:rsid w:val="006B41AB"/>
    <w:rsid w:val="006B7DC2"/>
    <w:rsid w:val="006C266A"/>
    <w:rsid w:val="006D0D60"/>
    <w:rsid w:val="006D2B44"/>
    <w:rsid w:val="0070404A"/>
    <w:rsid w:val="00705C29"/>
    <w:rsid w:val="00711CB5"/>
    <w:rsid w:val="0074686D"/>
    <w:rsid w:val="00765FCC"/>
    <w:rsid w:val="00766C4A"/>
    <w:rsid w:val="00787047"/>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A2BF2"/>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B124B9"/>
    <w:rsid w:val="00B35976"/>
    <w:rsid w:val="00B53427"/>
    <w:rsid w:val="00B66396"/>
    <w:rsid w:val="00B703C9"/>
    <w:rsid w:val="00B8291E"/>
    <w:rsid w:val="00B96EE8"/>
    <w:rsid w:val="00BA3F25"/>
    <w:rsid w:val="00BA488B"/>
    <w:rsid w:val="00BA708E"/>
    <w:rsid w:val="00BC3A9F"/>
    <w:rsid w:val="00BD698B"/>
    <w:rsid w:val="00BE7EC2"/>
    <w:rsid w:val="00BF1DAB"/>
    <w:rsid w:val="00BF6649"/>
    <w:rsid w:val="00C200AF"/>
    <w:rsid w:val="00C228B9"/>
    <w:rsid w:val="00C352BA"/>
    <w:rsid w:val="00C372BA"/>
    <w:rsid w:val="00C37A7C"/>
    <w:rsid w:val="00C45A7D"/>
    <w:rsid w:val="00C63101"/>
    <w:rsid w:val="00C634CD"/>
    <w:rsid w:val="00C66CA1"/>
    <w:rsid w:val="00C73ECE"/>
    <w:rsid w:val="00C759E5"/>
    <w:rsid w:val="00C838BA"/>
    <w:rsid w:val="00C956D0"/>
    <w:rsid w:val="00CA7FBA"/>
    <w:rsid w:val="00CB4FE5"/>
    <w:rsid w:val="00CD3DA3"/>
    <w:rsid w:val="00CD449C"/>
    <w:rsid w:val="00CD4F4C"/>
    <w:rsid w:val="00CD656D"/>
    <w:rsid w:val="00D05170"/>
    <w:rsid w:val="00D233D8"/>
    <w:rsid w:val="00D42A61"/>
    <w:rsid w:val="00D732FB"/>
    <w:rsid w:val="00D8751B"/>
    <w:rsid w:val="00D93F18"/>
    <w:rsid w:val="00DA1AF1"/>
    <w:rsid w:val="00E35EBC"/>
    <w:rsid w:val="00E5331C"/>
    <w:rsid w:val="00E6733D"/>
    <w:rsid w:val="00E93EC4"/>
    <w:rsid w:val="00EA673A"/>
    <w:rsid w:val="00EB5349"/>
    <w:rsid w:val="00EC5DAE"/>
    <w:rsid w:val="00EF75F0"/>
    <w:rsid w:val="00EF7E4F"/>
    <w:rsid w:val="00F07E38"/>
    <w:rsid w:val="00F25360"/>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7"/>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 w:type="character" w:customStyle="1" w:styleId="normaltextrun">
    <w:name w:val="normaltextrun"/>
    <w:basedOn w:val="DefaultParagraphFont"/>
    <w:rsid w:val="004A41A9"/>
  </w:style>
  <w:style w:type="paragraph" w:customStyle="1" w:styleId="paragraph">
    <w:name w:val="paragraph"/>
    <w:basedOn w:val="Normal"/>
    <w:rsid w:val="004A41A9"/>
    <w:pPr>
      <w:spacing w:before="100" w:beforeAutospacing="1" w:after="100" w:afterAutospacing="1" w:line="240" w:lineRule="auto"/>
      <w:jc w:val="left"/>
    </w:pPr>
    <w:rPr>
      <w:rFonts w:ascii="Times New Roman" w:eastAsia="Times New Roman" w:hAnsi="Times New Roman"/>
      <w:sz w:val="24"/>
      <w:szCs w:val="24"/>
      <w:lang w:val="en-US" w:eastAsia="en-US"/>
    </w:rPr>
  </w:style>
  <w:style w:type="character" w:customStyle="1" w:styleId="eop">
    <w:name w:val="eop"/>
    <w:basedOn w:val="DefaultParagraphFont"/>
    <w:rsid w:val="004A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InfoGovernance@britishcouncil.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Governance@britishcounci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ishcouncil.org/partner/international-development/jobs/policies-consultants" TargetMode="External"/><Relationship Id="rId23" Type="http://schemas.openxmlformats.org/officeDocument/2006/relationships/hyperlink" Target="mailto:InfoGovernance@britishcouncil.org" TargetMode="External"/><Relationship Id="rId10" Type="http://schemas.openxmlformats.org/officeDocument/2006/relationships/footer" Target="footer1.xml"/><Relationship Id="rId19" Type="http://schemas.openxmlformats.org/officeDocument/2006/relationships/hyperlink" Target="mailto:InfoGovernance@britishcouncil.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mailto:InfoGovernance@britishcounci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23240</Words>
  <Characters>132472</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Haka, Oltjan (Albania)</cp:lastModifiedBy>
  <cp:revision>2</cp:revision>
  <dcterms:created xsi:type="dcterms:W3CDTF">2024-02-02T14:15:00Z</dcterms:created>
  <dcterms:modified xsi:type="dcterms:W3CDTF">2024-02-02T14:15:00Z</dcterms:modified>
</cp:coreProperties>
</file>